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29" w:rsidRDefault="005D3229" w:rsidP="005D3229">
      <w:bookmarkStart w:id="0" w:name="_GoBack"/>
      <w:bookmarkEnd w:id="0"/>
      <w:r>
        <w:t>Turun kaupunginkirjasto</w:t>
      </w:r>
      <w:r>
        <w:tab/>
      </w:r>
      <w:r>
        <w:tab/>
      </w:r>
      <w:r>
        <w:tab/>
      </w:r>
      <w:r w:rsidR="009E1677">
        <w:t>MUISTIO</w:t>
      </w:r>
    </w:p>
    <w:p w:rsidR="005D3229" w:rsidRDefault="005D3229" w:rsidP="005D3229">
      <w:r>
        <w:t>Vaskin kokoelmatoimijat</w:t>
      </w:r>
    </w:p>
    <w:p w:rsidR="005D3229" w:rsidRDefault="005D3229" w:rsidP="005D3229">
      <w:r>
        <w:tab/>
      </w:r>
      <w:r>
        <w:tab/>
      </w:r>
      <w:r>
        <w:tab/>
      </w:r>
      <w:r>
        <w:tab/>
      </w:r>
      <w:r w:rsidR="00895772">
        <w:t>23</w:t>
      </w:r>
      <w:r>
        <w:t>.</w:t>
      </w:r>
      <w:r w:rsidR="00895772">
        <w:t>10</w:t>
      </w:r>
      <w:r>
        <w:t>.</w:t>
      </w:r>
      <w:r w:rsidR="00895772">
        <w:t>20</w:t>
      </w:r>
      <w:r>
        <w:t>13</w:t>
      </w:r>
    </w:p>
    <w:p w:rsidR="005D3229" w:rsidRDefault="005D3229" w:rsidP="005D3229"/>
    <w:p w:rsidR="005D3229" w:rsidRDefault="005D3229" w:rsidP="005D3229"/>
    <w:p w:rsidR="005D3229" w:rsidRDefault="005D3229" w:rsidP="005D3229">
      <w:r>
        <w:t>Vaski-kirjastojen kokoelmatoimijoiden kokous</w:t>
      </w:r>
    </w:p>
    <w:p w:rsidR="005D3229" w:rsidRDefault="005D3229" w:rsidP="005D3229"/>
    <w:p w:rsidR="005D3229" w:rsidRDefault="005D3229" w:rsidP="005D3229"/>
    <w:p w:rsidR="005D3229" w:rsidRDefault="005D3229" w:rsidP="005D3229">
      <w:r>
        <w:t>Aika</w:t>
      </w:r>
      <w:r>
        <w:tab/>
        <w:t>tiistai 23.</w:t>
      </w:r>
      <w:r w:rsidR="0029136B">
        <w:t>10</w:t>
      </w:r>
      <w:r>
        <w:t xml:space="preserve">.2013 klo </w:t>
      </w:r>
      <w:r w:rsidR="0029136B">
        <w:t>13</w:t>
      </w:r>
      <w:r>
        <w:t xml:space="preserve"> -</w:t>
      </w:r>
      <w:r w:rsidR="0029136B">
        <w:t xml:space="preserve"> </w:t>
      </w:r>
    </w:p>
    <w:p w:rsidR="005D3229" w:rsidRDefault="005D3229" w:rsidP="005D3229">
      <w:r>
        <w:t>Paikka</w:t>
      </w:r>
      <w:r>
        <w:tab/>
        <w:t>Turun kaupungin pääkirjasto, iso neuvotteluhuone</w:t>
      </w:r>
    </w:p>
    <w:p w:rsidR="005D3229" w:rsidRDefault="005D3229" w:rsidP="005D3229">
      <w:r>
        <w:t>Läsnä</w:t>
      </w:r>
      <w:r>
        <w:tab/>
      </w:r>
      <w:r w:rsidR="00C3765A">
        <w:t>Kalle Varila</w:t>
      </w:r>
      <w:r>
        <w:t xml:space="preserve"> (pj.)</w:t>
      </w:r>
      <w:r>
        <w:tab/>
        <w:t>Turku</w:t>
      </w:r>
    </w:p>
    <w:p w:rsidR="005D3229" w:rsidRDefault="005D3229" w:rsidP="005D3229">
      <w:r>
        <w:tab/>
        <w:t>Leena Hämäläinen</w:t>
      </w:r>
      <w:r>
        <w:tab/>
        <w:t>Masku</w:t>
      </w:r>
      <w:r w:rsidR="003C1064">
        <w:t xml:space="preserve"> pois</w:t>
      </w:r>
    </w:p>
    <w:p w:rsidR="005D3229" w:rsidRDefault="005D3229" w:rsidP="005D3229">
      <w:r>
        <w:tab/>
        <w:t xml:space="preserve">Tarja Järvenpää </w:t>
      </w:r>
      <w:r>
        <w:tab/>
        <w:t>Raisio</w:t>
      </w:r>
    </w:p>
    <w:p w:rsidR="005D3229" w:rsidRDefault="005D3229" w:rsidP="005D3229">
      <w:r>
        <w:tab/>
        <w:t xml:space="preserve">Pirkko Kähärä </w:t>
      </w:r>
      <w:r>
        <w:tab/>
        <w:t>Uusikaupunki</w:t>
      </w:r>
    </w:p>
    <w:p w:rsidR="005D3229" w:rsidRDefault="00C3765A" w:rsidP="005D3229">
      <w:r>
        <w:tab/>
        <w:t>Olavi Palin</w:t>
      </w:r>
      <w:r>
        <w:tab/>
      </w:r>
      <w:r w:rsidR="005D3229">
        <w:tab/>
        <w:t>Turku</w:t>
      </w:r>
    </w:p>
    <w:p w:rsidR="005D3229" w:rsidRDefault="005D3229" w:rsidP="005D3229">
      <w:r>
        <w:tab/>
        <w:t>Arja Rytkönen</w:t>
      </w:r>
      <w:r>
        <w:tab/>
        <w:t>Kaarina</w:t>
      </w:r>
    </w:p>
    <w:p w:rsidR="00C3765A" w:rsidRDefault="00C3765A" w:rsidP="005D3229">
      <w:r>
        <w:tab/>
        <w:t xml:space="preserve">Ritva Hapuli </w:t>
      </w:r>
      <w:r>
        <w:tab/>
      </w:r>
      <w:r>
        <w:tab/>
        <w:t>Turku pois</w:t>
      </w:r>
    </w:p>
    <w:p w:rsidR="005D3229" w:rsidRDefault="005D3229" w:rsidP="005D3229">
      <w:r>
        <w:tab/>
      </w:r>
    </w:p>
    <w:p w:rsidR="005D3229" w:rsidRDefault="005D3229" w:rsidP="005D3229">
      <w:pPr>
        <w:rPr>
          <w:rFonts w:cs="Arial"/>
          <w:b/>
        </w:rPr>
      </w:pPr>
    </w:p>
    <w:p w:rsidR="005D3229" w:rsidRDefault="005D3229" w:rsidP="005D3229">
      <w:pPr>
        <w:rPr>
          <w:rFonts w:cs="Arial"/>
          <w:b/>
        </w:rPr>
      </w:pPr>
    </w:p>
    <w:p w:rsidR="005D3229" w:rsidRDefault="005D3229" w:rsidP="005D3229">
      <w:pPr>
        <w:rPr>
          <w:rFonts w:cs="Arial"/>
          <w:b/>
        </w:rPr>
      </w:pPr>
    </w:p>
    <w:p w:rsidR="005D3229" w:rsidRDefault="005D3229" w:rsidP="005D3229">
      <w:pPr>
        <w:rPr>
          <w:rFonts w:cs="Arial"/>
        </w:rPr>
      </w:pPr>
      <w:r w:rsidRPr="005D3229">
        <w:rPr>
          <w:rFonts w:cs="Arial"/>
        </w:rPr>
        <w:t>Käsiteltävät asiat</w:t>
      </w:r>
    </w:p>
    <w:p w:rsidR="005D3229" w:rsidRPr="005D3229" w:rsidRDefault="005D3229" w:rsidP="005D3229">
      <w:pPr>
        <w:rPr>
          <w:rFonts w:cs="Arial"/>
        </w:rPr>
      </w:pPr>
    </w:p>
    <w:p w:rsidR="005D3229" w:rsidRPr="005D3229" w:rsidRDefault="005D3229" w:rsidP="005D3229">
      <w:pPr>
        <w:rPr>
          <w:rFonts w:cs="Arial"/>
          <w:b/>
        </w:rPr>
      </w:pPr>
    </w:p>
    <w:p w:rsidR="00A061EE" w:rsidRDefault="00895772" w:rsidP="00A061EE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Vaskin kokoelmalinjat</w:t>
      </w:r>
    </w:p>
    <w:p w:rsidR="00A061EE" w:rsidRDefault="00A061EE" w:rsidP="00A061EE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B92915" w:rsidRDefault="00895772" w:rsidP="00FC5A97">
      <w:pPr>
        <w:ind w:left="720"/>
        <w:rPr>
          <w:rFonts w:cs="Arial"/>
        </w:rPr>
      </w:pPr>
      <w:r>
        <w:rPr>
          <w:rFonts w:cs="Arial"/>
        </w:rPr>
        <w:t>Vaski-jory hyväksyi Vaski-kirjastojen kokoelmalinjat 1.10.2013.</w:t>
      </w:r>
      <w:r w:rsidR="00B92915">
        <w:rPr>
          <w:rFonts w:cs="Arial"/>
        </w:rPr>
        <w:t xml:space="preserve"> </w:t>
      </w:r>
      <w:r>
        <w:rPr>
          <w:rFonts w:cs="Arial"/>
        </w:rPr>
        <w:t>Tuo suppea linjaus on suunnattu ensisijaisesti asiakkaille ja päättäjille. Asian käsittelyn yhteydessä toivottiin laajempaa, toimint</w:t>
      </w:r>
      <w:r>
        <w:rPr>
          <w:rFonts w:cs="Arial"/>
        </w:rPr>
        <w:t>a</w:t>
      </w:r>
      <w:r>
        <w:rPr>
          <w:rFonts w:cs="Arial"/>
        </w:rPr>
        <w:t>ohjeen tyyppistä</w:t>
      </w:r>
      <w:r w:rsidR="00B92915">
        <w:rPr>
          <w:rFonts w:cs="Arial"/>
        </w:rPr>
        <w:t xml:space="preserve"> kokoelmalinjausta henkilökunnan käyttöön.</w:t>
      </w:r>
      <w:r w:rsidR="00FC5A97">
        <w:rPr>
          <w:rFonts w:cs="Arial"/>
        </w:rPr>
        <w:t xml:space="preserve"> Sanna Pesonen on</w:t>
      </w:r>
      <w:r w:rsidR="00B92915">
        <w:rPr>
          <w:rFonts w:cs="Arial"/>
        </w:rPr>
        <w:t xml:space="preserve"> </w:t>
      </w:r>
      <w:r w:rsidR="00FC5A97">
        <w:rPr>
          <w:rFonts w:cs="Arial"/>
        </w:rPr>
        <w:t>kirjoittanut varsin valmiiksi</w:t>
      </w:r>
      <w:r w:rsidR="00FD5211">
        <w:rPr>
          <w:rFonts w:cs="Arial"/>
        </w:rPr>
        <w:t xml:space="preserve"> tällaisen ohjeen nimellä</w:t>
      </w:r>
      <w:r w:rsidR="00B92915">
        <w:rPr>
          <w:rFonts w:cs="Arial"/>
        </w:rPr>
        <w:t xml:space="preserve"> </w:t>
      </w:r>
      <w:r w:rsidR="00FC5A97" w:rsidRPr="00FC5A97">
        <w:rPr>
          <w:rFonts w:cs="Arial"/>
          <w:i/>
        </w:rPr>
        <w:t>Vaski-kirjastojen kokoelmalinjausten syventävä osuus</w:t>
      </w:r>
      <w:r w:rsidR="00FD5211">
        <w:rPr>
          <w:rFonts w:cs="Arial"/>
        </w:rPr>
        <w:t>, joka j</w:t>
      </w:r>
      <w:r w:rsidR="00FD5211">
        <w:rPr>
          <w:rFonts w:cs="Arial"/>
        </w:rPr>
        <w:t>a</w:t>
      </w:r>
      <w:r w:rsidR="00FD5211">
        <w:rPr>
          <w:rFonts w:cs="Arial"/>
        </w:rPr>
        <w:t>ettiin kokouksen osallistujille.</w:t>
      </w:r>
    </w:p>
    <w:p w:rsidR="00B92915" w:rsidRDefault="00B92915" w:rsidP="00895772">
      <w:pPr>
        <w:ind w:left="720"/>
        <w:rPr>
          <w:rFonts w:cs="Arial"/>
        </w:rPr>
      </w:pPr>
    </w:p>
    <w:p w:rsidR="00B92915" w:rsidRDefault="00B92915" w:rsidP="00895772">
      <w:pPr>
        <w:ind w:left="720"/>
        <w:rPr>
          <w:rFonts w:cs="Arial"/>
        </w:rPr>
      </w:pPr>
      <w:r>
        <w:rPr>
          <w:rFonts w:cs="Arial"/>
        </w:rPr>
        <w:t>Millaisella aikataululla voisimme saada tämän asiakirjan valmiiksi?</w:t>
      </w:r>
    </w:p>
    <w:p w:rsidR="00B92915" w:rsidRDefault="00B92915" w:rsidP="00895772">
      <w:pPr>
        <w:ind w:left="720"/>
        <w:rPr>
          <w:rFonts w:cs="Arial"/>
        </w:rPr>
      </w:pPr>
    </w:p>
    <w:p w:rsidR="006377C7" w:rsidRDefault="0029136B" w:rsidP="00B043AB">
      <w:pPr>
        <w:rPr>
          <w:rFonts w:cs="Arial"/>
        </w:rPr>
      </w:pPr>
      <w:r>
        <w:rPr>
          <w:rFonts w:cs="Arial"/>
        </w:rPr>
        <w:t>Sovittiin että</w:t>
      </w:r>
      <w:r w:rsidR="00FD5211">
        <w:rPr>
          <w:rFonts w:cs="Arial"/>
        </w:rPr>
        <w:t xml:space="preserve"> Kalle</w:t>
      </w:r>
      <w:r>
        <w:rPr>
          <w:rFonts w:cs="Arial"/>
        </w:rPr>
        <w:t xml:space="preserve"> </w:t>
      </w:r>
      <w:r w:rsidR="00FD5211">
        <w:rPr>
          <w:rFonts w:cs="Arial"/>
        </w:rPr>
        <w:t>viimeistelee tekstiä Kaisan, Sannan ym.</w:t>
      </w:r>
      <w:r w:rsidR="00A26070">
        <w:rPr>
          <w:rFonts w:cs="Arial"/>
        </w:rPr>
        <w:t xml:space="preserve"> kom</w:t>
      </w:r>
      <w:r w:rsidR="00FD5211">
        <w:rPr>
          <w:rFonts w:cs="Arial"/>
        </w:rPr>
        <w:t>menttien pohjalta, ja</w:t>
      </w:r>
      <w:r w:rsidR="00A26070">
        <w:rPr>
          <w:rFonts w:cs="Arial"/>
        </w:rPr>
        <w:t xml:space="preserve"> </w:t>
      </w:r>
      <w:r w:rsidR="00FD5211">
        <w:rPr>
          <w:rFonts w:cs="Arial"/>
        </w:rPr>
        <w:t xml:space="preserve">se toimitetaan </w:t>
      </w:r>
      <w:r w:rsidR="00A26070">
        <w:rPr>
          <w:rFonts w:cs="Arial"/>
        </w:rPr>
        <w:t>sen jälkeen Vaskin henkilökunnan käyttöön</w:t>
      </w:r>
      <w:r w:rsidR="00FC5A97">
        <w:rPr>
          <w:rFonts w:cs="Arial"/>
        </w:rPr>
        <w:t xml:space="preserve"> ensi vuoden alkupuolella</w:t>
      </w:r>
      <w:r w:rsidR="00A26070">
        <w:rPr>
          <w:rFonts w:cs="Arial"/>
        </w:rPr>
        <w:t>.</w:t>
      </w:r>
    </w:p>
    <w:p w:rsidR="00FD5211" w:rsidRDefault="00FD5211" w:rsidP="00B043AB">
      <w:pPr>
        <w:rPr>
          <w:rFonts w:cs="Arial"/>
        </w:rPr>
      </w:pPr>
      <w:r>
        <w:rPr>
          <w:rFonts w:cs="Arial"/>
        </w:rPr>
        <w:t>Keskusteltiin mainittiin mm.:</w:t>
      </w:r>
    </w:p>
    <w:p w:rsidR="0029136B" w:rsidRPr="000F1909" w:rsidRDefault="0029136B" w:rsidP="0029136B">
      <w:pPr>
        <w:pStyle w:val="Luettelokappal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F1909">
        <w:rPr>
          <w:rFonts w:ascii="Arial" w:hAnsi="Arial" w:cs="Arial"/>
          <w:sz w:val="22"/>
          <w:szCs w:val="22"/>
        </w:rPr>
        <w:t>esim. lasten osuutta voisi tiivistää</w:t>
      </w:r>
    </w:p>
    <w:p w:rsidR="0029136B" w:rsidRPr="000F1909" w:rsidRDefault="0029136B" w:rsidP="0029136B">
      <w:pPr>
        <w:pStyle w:val="Luettelokappal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F1909">
        <w:rPr>
          <w:rFonts w:ascii="Arial" w:hAnsi="Arial" w:cs="Arial"/>
          <w:sz w:val="22"/>
          <w:szCs w:val="22"/>
        </w:rPr>
        <w:t>s. 17 ruotsinkielisen rajaus ehkä turhan jyrkkä, tarvitaanko?</w:t>
      </w:r>
    </w:p>
    <w:p w:rsidR="0029136B" w:rsidRPr="000F1909" w:rsidRDefault="00A26070" w:rsidP="0029136B">
      <w:pPr>
        <w:pStyle w:val="Luettelokappal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F1909">
        <w:rPr>
          <w:rFonts w:ascii="Arial" w:hAnsi="Arial" w:cs="Arial"/>
          <w:sz w:val="22"/>
          <w:szCs w:val="22"/>
        </w:rPr>
        <w:t>varastointi-osuus!</w:t>
      </w:r>
    </w:p>
    <w:p w:rsidR="00A26070" w:rsidRPr="000F1909" w:rsidRDefault="00A26070" w:rsidP="00A26070">
      <w:pPr>
        <w:pStyle w:val="Luettelokappale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0F1909">
        <w:rPr>
          <w:rFonts w:ascii="Arial" w:hAnsi="Arial" w:cs="Arial"/>
          <w:sz w:val="22"/>
          <w:szCs w:val="22"/>
        </w:rPr>
        <w:t>lehtien varastointi</w:t>
      </w:r>
    </w:p>
    <w:p w:rsidR="00A26070" w:rsidRPr="000F1909" w:rsidRDefault="00A26070" w:rsidP="00A26070">
      <w:pPr>
        <w:pStyle w:val="Luettelokappale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0F1909">
        <w:rPr>
          <w:rFonts w:ascii="Arial" w:hAnsi="Arial" w:cs="Arial"/>
          <w:sz w:val="22"/>
          <w:szCs w:val="22"/>
        </w:rPr>
        <w:t xml:space="preserve">Vallu + </w:t>
      </w:r>
      <w:r w:rsidR="000F1909" w:rsidRPr="000F1909">
        <w:rPr>
          <w:rFonts w:ascii="Arial" w:hAnsi="Arial" w:cs="Arial"/>
          <w:sz w:val="22"/>
          <w:szCs w:val="22"/>
        </w:rPr>
        <w:t xml:space="preserve"> esim.</w:t>
      </w:r>
      <w:r w:rsidR="00FC5A97">
        <w:rPr>
          <w:rFonts w:ascii="Arial" w:hAnsi="Arial" w:cs="Arial"/>
          <w:sz w:val="22"/>
          <w:szCs w:val="22"/>
        </w:rPr>
        <w:t xml:space="preserve"> </w:t>
      </w:r>
      <w:r w:rsidRPr="000F1909">
        <w:rPr>
          <w:rFonts w:ascii="Arial" w:hAnsi="Arial" w:cs="Arial"/>
          <w:sz w:val="22"/>
          <w:szCs w:val="22"/>
        </w:rPr>
        <w:t>Uudenkaupungin</w:t>
      </w:r>
      <w:r w:rsidR="000F1909" w:rsidRPr="000F1909">
        <w:rPr>
          <w:rFonts w:ascii="Arial" w:hAnsi="Arial" w:cs="Arial"/>
          <w:sz w:val="22"/>
          <w:szCs w:val="22"/>
        </w:rPr>
        <w:t xml:space="preserve"> muutamat vanhat</w:t>
      </w:r>
      <w:r w:rsidR="00FC5A97">
        <w:rPr>
          <w:rFonts w:ascii="Arial" w:hAnsi="Arial" w:cs="Arial"/>
          <w:sz w:val="22"/>
          <w:szCs w:val="22"/>
        </w:rPr>
        <w:t xml:space="preserve"> vuosikertasarjat</w:t>
      </w:r>
      <w:r w:rsidR="000F1909" w:rsidRPr="000F1909">
        <w:rPr>
          <w:rFonts w:ascii="Arial" w:hAnsi="Arial" w:cs="Arial"/>
          <w:sz w:val="22"/>
          <w:szCs w:val="22"/>
        </w:rPr>
        <w:t>,</w:t>
      </w:r>
      <w:r w:rsidR="00FC5A97">
        <w:rPr>
          <w:rFonts w:ascii="Arial" w:hAnsi="Arial" w:cs="Arial"/>
          <w:sz w:val="22"/>
          <w:szCs w:val="22"/>
        </w:rPr>
        <w:t xml:space="preserve"> joista on</w:t>
      </w:r>
      <w:r w:rsidR="000F1909" w:rsidRPr="000F1909">
        <w:rPr>
          <w:rFonts w:ascii="Arial" w:hAnsi="Arial" w:cs="Arial"/>
          <w:sz w:val="22"/>
          <w:szCs w:val="22"/>
        </w:rPr>
        <w:t xml:space="preserve"> maininta kotisivuilla</w:t>
      </w:r>
      <w:r w:rsidR="00FC5A97">
        <w:rPr>
          <w:rFonts w:ascii="Arial" w:hAnsi="Arial" w:cs="Arial"/>
          <w:sz w:val="22"/>
          <w:szCs w:val="22"/>
        </w:rPr>
        <w:t>.</w:t>
      </w:r>
    </w:p>
    <w:p w:rsidR="00A061EE" w:rsidRPr="000F1909" w:rsidRDefault="00A061EE" w:rsidP="00A061EE">
      <w:pPr>
        <w:pStyle w:val="Luettelokappale"/>
        <w:ind w:left="0"/>
        <w:rPr>
          <w:rFonts w:ascii="Arial" w:hAnsi="Arial" w:cs="Arial"/>
          <w:b/>
          <w:sz w:val="22"/>
          <w:szCs w:val="22"/>
        </w:rPr>
      </w:pPr>
    </w:p>
    <w:p w:rsidR="00272CF5" w:rsidRDefault="00272CF5" w:rsidP="00272CF5">
      <w:pPr>
        <w:ind w:left="1304" w:firstLine="1"/>
      </w:pPr>
    </w:p>
    <w:p w:rsidR="005D3229" w:rsidRDefault="005D3229" w:rsidP="00272CF5">
      <w:pPr>
        <w:ind w:left="720"/>
        <w:rPr>
          <w:rFonts w:cs="Arial"/>
        </w:rPr>
      </w:pPr>
    </w:p>
    <w:p w:rsidR="005D3229" w:rsidRDefault="005D3229" w:rsidP="005D3229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0E24C9">
        <w:rPr>
          <w:rFonts w:ascii="Arial" w:hAnsi="Arial" w:cs="Arial"/>
          <w:b/>
          <w:sz w:val="22"/>
          <w:szCs w:val="22"/>
        </w:rPr>
        <w:t>FinELibille ehdotettavat uudet aineistot</w:t>
      </w:r>
    </w:p>
    <w:p w:rsidR="00272CF5" w:rsidRDefault="00272CF5" w:rsidP="00272CF5">
      <w:pPr>
        <w:rPr>
          <w:rFonts w:cs="Arial"/>
          <w:b/>
        </w:rPr>
      </w:pPr>
    </w:p>
    <w:p w:rsidR="00C3765A" w:rsidRPr="00C3765A" w:rsidRDefault="00C3765A" w:rsidP="00C3765A">
      <w:pPr>
        <w:ind w:left="1304"/>
        <w:rPr>
          <w:rFonts w:cs="Arial"/>
          <w:sz w:val="24"/>
          <w:szCs w:val="24"/>
        </w:rPr>
      </w:pPr>
      <w:r w:rsidRPr="00C3765A">
        <w:rPr>
          <w:rFonts w:cs="Arial"/>
          <w:sz w:val="24"/>
          <w:szCs w:val="24"/>
        </w:rPr>
        <w:t>E-aineistohankinnan määrärahat v. 2013-2014</w:t>
      </w:r>
    </w:p>
    <w:p w:rsidR="00C3765A" w:rsidRPr="00533600" w:rsidRDefault="00C3765A" w:rsidP="00C3765A">
      <w:pPr>
        <w:jc w:val="center"/>
        <w:rPr>
          <w:color w:val="244061" w:themeColor="accent1" w:themeShade="80"/>
          <w:sz w:val="24"/>
          <w:szCs w:val="24"/>
        </w:rPr>
      </w:pPr>
    </w:p>
    <w:tbl>
      <w:tblPr>
        <w:tblW w:w="7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1781"/>
        <w:gridCol w:w="1901"/>
        <w:gridCol w:w="1460"/>
      </w:tblGrid>
      <w:tr w:rsidR="00C3765A" w:rsidRPr="00533600" w:rsidTr="00CF28AD">
        <w:trPr>
          <w:trHeight w:val="285"/>
          <w:jc w:val="center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>Voimassa olevat FinELib -sopimukset, etäkäyttöiset aineistot v. 2013</w:t>
            </w:r>
          </w:p>
        </w:tc>
      </w:tr>
      <w:tr w:rsidR="00C3765A" w:rsidRPr="00533600" w:rsidTr="00CF28AD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3765A" w:rsidRPr="00533600" w:rsidTr="00CF28AD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>sopimus päättyy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 xml:space="preserve">käyttö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>Vaskin hinta</w:t>
            </w:r>
          </w:p>
        </w:tc>
      </w:tr>
      <w:tr w:rsidR="00C3765A" w:rsidRPr="00533600" w:rsidTr="00CF28AD">
        <w:trPr>
          <w:trHeight w:val="28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Aleksi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2774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30 885</w:t>
            </w:r>
          </w:p>
        </w:tc>
      </w:tr>
      <w:tr w:rsidR="00C3765A" w:rsidRPr="00533600" w:rsidTr="00CF28AD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Ebsco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3 869</w:t>
            </w:r>
          </w:p>
        </w:tc>
      </w:tr>
      <w:tr w:rsidR="00C3765A" w:rsidRPr="00533600" w:rsidTr="00CF28AD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Ellibs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4 000</w:t>
            </w:r>
          </w:p>
        </w:tc>
      </w:tr>
      <w:tr w:rsidR="00C3765A" w:rsidRPr="00533600" w:rsidTr="00CF28AD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Kansallisbiografia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3 382</w:t>
            </w:r>
          </w:p>
        </w:tc>
      </w:tr>
      <w:tr w:rsidR="00C3765A" w:rsidRPr="00533600" w:rsidTr="00CF28AD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PressDisplay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9465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7 499</w:t>
            </w:r>
          </w:p>
        </w:tc>
      </w:tr>
      <w:tr w:rsidR="00C3765A" w:rsidRPr="00533600" w:rsidTr="00CF28AD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3600">
              <w:rPr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36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36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49 635</w:t>
            </w:r>
          </w:p>
        </w:tc>
      </w:tr>
      <w:tr w:rsidR="00C3765A" w:rsidRPr="00533600" w:rsidTr="00CF28AD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Turun osuus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25 860</w:t>
            </w:r>
          </w:p>
        </w:tc>
      </w:tr>
      <w:tr w:rsidR="00C3765A" w:rsidRPr="00533600" w:rsidTr="00CF28AD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Muiden osuus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23 775</w:t>
            </w:r>
          </w:p>
        </w:tc>
      </w:tr>
      <w:tr w:rsidR="00C3765A" w:rsidRPr="00533600" w:rsidTr="00CF28AD">
        <w:trPr>
          <w:trHeight w:val="285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color w:val="000000"/>
              </w:rPr>
            </w:pPr>
          </w:p>
        </w:tc>
      </w:tr>
      <w:tr w:rsidR="00C3765A" w:rsidRPr="00533600" w:rsidTr="00CF28AD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3600">
              <w:rPr>
                <w:b/>
                <w:bCs/>
                <w:color w:val="000000"/>
                <w:sz w:val="18"/>
                <w:szCs w:val="18"/>
              </w:rPr>
              <w:t>OverDrive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3765A" w:rsidRPr="00533600" w:rsidTr="00CF28AD">
        <w:trPr>
          <w:trHeight w:val="67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alustamaksu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10 793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16"/>
                <w:szCs w:val="16"/>
              </w:rPr>
            </w:pPr>
            <w:r w:rsidRPr="00533600">
              <w:rPr>
                <w:color w:val="000000"/>
                <w:sz w:val="16"/>
                <w:szCs w:val="16"/>
              </w:rPr>
              <w:t>maksetaan v. 2013 Asiakkaan kirjasto -projektin rahoilla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16"/>
                <w:szCs w:val="16"/>
              </w:rPr>
            </w:pPr>
          </w:p>
        </w:tc>
      </w:tr>
      <w:tr w:rsidR="00C3765A" w:rsidRPr="00533600" w:rsidTr="00CF28AD">
        <w:trPr>
          <w:trHeight w:val="30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aineistomaksu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7 709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3765A" w:rsidRPr="00533600" w:rsidTr="00CF28AD">
        <w:trPr>
          <w:trHeight w:val="30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b/>
                <w:bCs/>
                <w:color w:val="000000"/>
                <w:sz w:val="20"/>
              </w:rPr>
            </w:pPr>
            <w:r w:rsidRPr="00533600">
              <w:rPr>
                <w:b/>
                <w:bCs/>
                <w:color w:val="000000"/>
                <w:sz w:val="20"/>
              </w:rPr>
              <w:t>yhteensä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33600">
              <w:rPr>
                <w:b/>
                <w:bCs/>
                <w:color w:val="000000"/>
                <w:sz w:val="20"/>
              </w:rPr>
              <w:t>18 502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533600" w:rsidRDefault="00C3765A" w:rsidP="00CF28A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3765A" w:rsidRDefault="00C3765A" w:rsidP="00C3765A">
      <w:pPr>
        <w:ind w:left="1304" w:firstLine="1"/>
        <w:rPr>
          <w:color w:val="000000"/>
          <w:sz w:val="20"/>
        </w:rPr>
      </w:pPr>
    </w:p>
    <w:p w:rsidR="00C3765A" w:rsidRDefault="00C3765A" w:rsidP="00C3765A">
      <w:pPr>
        <w:ind w:left="1304" w:firstLine="1"/>
        <w:rPr>
          <w:color w:val="000000"/>
          <w:sz w:val="20"/>
        </w:rPr>
      </w:pPr>
    </w:p>
    <w:tbl>
      <w:tblPr>
        <w:tblW w:w="7103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17"/>
      </w:tblGrid>
      <w:tr w:rsidR="00C3765A" w:rsidRPr="00533600" w:rsidTr="00CF28AD">
        <w:trPr>
          <w:trHeight w:val="28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>FinELib-aineistot ja OverDriven aineistomaksu yhteensä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533600" w:rsidRDefault="00C3765A" w:rsidP="00CF28AD">
            <w:pPr>
              <w:rPr>
                <w:b/>
                <w:bCs/>
                <w:color w:val="000000"/>
                <w:sz w:val="20"/>
              </w:rPr>
            </w:pPr>
            <w:bookmarkStart w:id="1" w:name="_Hlk346095253"/>
            <w:r w:rsidRPr="00533600">
              <w:rPr>
                <w:b/>
                <w:bCs/>
                <w:color w:val="000000"/>
                <w:sz w:val="20"/>
              </w:rPr>
              <w:t xml:space="preserve">57 </w:t>
            </w:r>
            <w:bookmarkEnd w:id="1"/>
            <w:r>
              <w:rPr>
                <w:b/>
                <w:bCs/>
                <w:color w:val="000000"/>
                <w:sz w:val="20"/>
              </w:rPr>
              <w:t>344</w:t>
            </w:r>
          </w:p>
        </w:tc>
      </w:tr>
    </w:tbl>
    <w:p w:rsidR="00C3765A" w:rsidRDefault="00C3765A" w:rsidP="00C3765A">
      <w:pPr>
        <w:rPr>
          <w:color w:val="000000"/>
          <w:sz w:val="20"/>
        </w:rPr>
      </w:pPr>
    </w:p>
    <w:p w:rsidR="00C3765A" w:rsidRDefault="00C3765A" w:rsidP="00C3765A">
      <w:pPr>
        <w:ind w:left="1304" w:firstLine="1"/>
        <w:rPr>
          <w:color w:val="000000"/>
          <w:sz w:val="20"/>
        </w:rPr>
      </w:pPr>
    </w:p>
    <w:p w:rsidR="00C3765A" w:rsidRPr="00533600" w:rsidRDefault="00C3765A" w:rsidP="00C3765A">
      <w:pPr>
        <w:ind w:left="1304"/>
        <w:rPr>
          <w:color w:val="000000"/>
          <w:sz w:val="20"/>
        </w:rPr>
      </w:pPr>
      <w:r w:rsidRPr="00F77054">
        <w:rPr>
          <w:color w:val="000000"/>
          <w:sz w:val="20"/>
        </w:rPr>
        <w:t>FinELib velottaa aineistot kirjas</w:t>
      </w:r>
      <w:r>
        <w:rPr>
          <w:color w:val="000000"/>
          <w:sz w:val="20"/>
        </w:rPr>
        <w:t>toilta. Turku maksaa Ellibsin sekä</w:t>
      </w:r>
      <w:r w:rsidRPr="00F77054">
        <w:rPr>
          <w:color w:val="000000"/>
          <w:sz w:val="20"/>
        </w:rPr>
        <w:t xml:space="preserve"> O</w:t>
      </w:r>
      <w:r>
        <w:rPr>
          <w:color w:val="000000"/>
          <w:sz w:val="20"/>
        </w:rPr>
        <w:t xml:space="preserve">verDriven e-kirjat </w:t>
      </w:r>
      <w:r w:rsidRPr="00F77054">
        <w:rPr>
          <w:color w:val="000000"/>
          <w:sz w:val="20"/>
        </w:rPr>
        <w:t>ja velottaa mu</w:t>
      </w:r>
      <w:r w:rsidRPr="00F77054">
        <w:rPr>
          <w:color w:val="000000"/>
          <w:sz w:val="20"/>
        </w:rPr>
        <w:t>i</w:t>
      </w:r>
      <w:r w:rsidRPr="00F77054">
        <w:rPr>
          <w:color w:val="000000"/>
          <w:sz w:val="20"/>
        </w:rPr>
        <w:t>ta Vaski</w:t>
      </w:r>
      <w:r>
        <w:rPr>
          <w:color w:val="000000"/>
          <w:sz w:val="20"/>
        </w:rPr>
        <w:t>-</w:t>
      </w:r>
      <w:r w:rsidRPr="00F77054">
        <w:rPr>
          <w:color w:val="000000"/>
          <w:sz w:val="20"/>
        </w:rPr>
        <w:t>kirjastoja asukasluvun mukaisessa suhteessa.</w:t>
      </w:r>
    </w:p>
    <w:p w:rsidR="00C3765A" w:rsidRPr="00533600" w:rsidRDefault="00C3765A" w:rsidP="00C3765A">
      <w:pPr>
        <w:jc w:val="right"/>
        <w:rPr>
          <w:color w:val="244061" w:themeColor="accent1" w:themeShade="80"/>
          <w:sz w:val="24"/>
          <w:szCs w:val="24"/>
        </w:rPr>
      </w:pPr>
    </w:p>
    <w:tbl>
      <w:tblPr>
        <w:tblW w:w="8829" w:type="dxa"/>
        <w:jc w:val="right"/>
        <w:tblInd w:w="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693"/>
        <w:gridCol w:w="2734"/>
      </w:tblGrid>
      <w:tr w:rsidR="00C3765A" w:rsidRPr="000D74E5" w:rsidTr="00CF28AD">
        <w:trPr>
          <w:trHeight w:val="323"/>
          <w:jc w:val="right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rPr>
                <w:color w:val="000000"/>
                <w:sz w:val="18"/>
                <w:szCs w:val="18"/>
              </w:rPr>
            </w:pPr>
            <w:bookmarkStart w:id="2" w:name="RANGE!A2"/>
            <w:bookmarkStart w:id="3" w:name="OLE_LINK1" w:colFirst="1" w:colLast="2"/>
            <w:r>
              <w:rPr>
                <w:color w:val="000000"/>
                <w:sz w:val="18"/>
                <w:szCs w:val="18"/>
              </w:rPr>
              <w:t>A</w:t>
            </w:r>
            <w:r w:rsidRPr="000D74E5">
              <w:rPr>
                <w:color w:val="000000"/>
                <w:sz w:val="18"/>
                <w:szCs w:val="18"/>
              </w:rPr>
              <w:t>ineistotyyppi</w:t>
            </w:r>
            <w:bookmarkEnd w:id="2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Hinta v. 2013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Hinta v. 2014 (arvio)</w:t>
            </w:r>
          </w:p>
        </w:tc>
      </w:tr>
      <w:tr w:rsidR="00C3765A" w:rsidRPr="000D74E5" w:rsidTr="00CF28AD">
        <w:trPr>
          <w:trHeight w:val="285"/>
          <w:jc w:val="right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E-kirjat (Ellibs, OverDrive)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11 709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23 800</w:t>
            </w:r>
          </w:p>
        </w:tc>
      </w:tr>
      <w:tr w:rsidR="00C3765A" w:rsidRPr="000D74E5" w:rsidTr="00CF28AD">
        <w:trPr>
          <w:trHeight w:val="531"/>
          <w:jc w:val="right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65A" w:rsidRPr="000D74E5" w:rsidRDefault="00C3765A" w:rsidP="00CF28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D74E5">
              <w:rPr>
                <w:i/>
                <w:iCs/>
                <w:color w:val="000000"/>
                <w:sz w:val="18"/>
                <w:szCs w:val="18"/>
              </w:rPr>
              <w:t>(aineistomaksut 4000 + 7709)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D74E5">
              <w:rPr>
                <w:i/>
                <w:iCs/>
                <w:color w:val="000000"/>
                <w:sz w:val="18"/>
                <w:szCs w:val="18"/>
              </w:rPr>
              <w:t>(aineistomaksut 13000 + OD:n alustamaksu 10 793)</w:t>
            </w:r>
          </w:p>
        </w:tc>
      </w:tr>
      <w:tr w:rsidR="00C3765A" w:rsidRPr="000D74E5" w:rsidTr="00CF28AD">
        <w:trPr>
          <w:trHeight w:val="411"/>
          <w:jc w:val="right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Tietokannat (Aleksi, Ebsco?)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31 122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37 200</w:t>
            </w:r>
          </w:p>
        </w:tc>
      </w:tr>
      <w:tr w:rsidR="00C3765A" w:rsidRPr="000D74E5" w:rsidTr="00CF28AD">
        <w:trPr>
          <w:trHeight w:val="545"/>
          <w:jc w:val="right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Sähköiset palvelut (PressDisplay, Ka</w:t>
            </w:r>
            <w:r w:rsidRPr="000D74E5">
              <w:rPr>
                <w:color w:val="000000"/>
                <w:sz w:val="18"/>
                <w:szCs w:val="18"/>
              </w:rPr>
              <w:t>n</w:t>
            </w:r>
            <w:r w:rsidRPr="000D74E5">
              <w:rPr>
                <w:color w:val="000000"/>
                <w:sz w:val="18"/>
                <w:szCs w:val="18"/>
              </w:rPr>
              <w:t>sallisbiografia)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10 881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14 000</w:t>
            </w:r>
          </w:p>
        </w:tc>
      </w:tr>
      <w:tr w:rsidR="00C3765A" w:rsidRPr="000D74E5" w:rsidTr="00CF28AD">
        <w:trPr>
          <w:trHeight w:val="964"/>
          <w:jc w:val="right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Naxos (</w:t>
            </w:r>
            <w:r w:rsidRPr="000D74E5">
              <w:rPr>
                <w:color w:val="000000"/>
                <w:sz w:val="18"/>
                <w:szCs w:val="18"/>
                <w:u w:val="single"/>
              </w:rPr>
              <w:t>ehdotus</w:t>
            </w:r>
            <w:r w:rsidRPr="000D74E5">
              <w:rPr>
                <w:color w:val="000000"/>
                <w:sz w:val="18"/>
                <w:szCs w:val="18"/>
              </w:rPr>
              <w:t>: hankitaan koko Vaskin yhteiskäyttöön: 15 lisenssiä musiiki</w:t>
            </w:r>
            <w:r w:rsidRPr="000D74E5">
              <w:rPr>
                <w:color w:val="000000"/>
                <w:sz w:val="18"/>
                <w:szCs w:val="18"/>
              </w:rPr>
              <w:t>n</w:t>
            </w:r>
            <w:r w:rsidRPr="000D74E5">
              <w:rPr>
                <w:color w:val="000000"/>
                <w:sz w:val="18"/>
                <w:szCs w:val="18"/>
              </w:rPr>
              <w:t>kuunteluun ja 3 lisenssiä videon kats</w:t>
            </w:r>
            <w:r w:rsidRPr="000D74E5">
              <w:rPr>
                <w:color w:val="000000"/>
                <w:sz w:val="18"/>
                <w:szCs w:val="18"/>
              </w:rPr>
              <w:t>e</w:t>
            </w:r>
            <w:r w:rsidRPr="000D74E5">
              <w:rPr>
                <w:color w:val="000000"/>
                <w:sz w:val="18"/>
                <w:szCs w:val="18"/>
              </w:rPr>
              <w:t>luun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 xml:space="preserve">                            2 865  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                         3000</w:t>
            </w:r>
            <w:r w:rsidRPr="000D74E5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3765A" w:rsidRPr="000D74E5" w:rsidTr="00CF28AD">
        <w:trPr>
          <w:trHeight w:val="425"/>
          <w:jc w:val="right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rPr>
                <w:b/>
                <w:color w:val="000000"/>
                <w:sz w:val="18"/>
                <w:szCs w:val="18"/>
              </w:rPr>
            </w:pPr>
            <w:r w:rsidRPr="000D74E5">
              <w:rPr>
                <w:b/>
                <w:color w:val="000000"/>
                <w:sz w:val="18"/>
                <w:szCs w:val="18"/>
              </w:rPr>
              <w:t>Yhteensä ilman Naxosta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74E5">
              <w:rPr>
                <w:b/>
                <w:color w:val="000000"/>
                <w:sz w:val="18"/>
                <w:szCs w:val="18"/>
              </w:rPr>
              <w:t>57 712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74E5">
              <w:rPr>
                <w:b/>
                <w:color w:val="000000"/>
                <w:sz w:val="18"/>
                <w:szCs w:val="18"/>
              </w:rPr>
              <w:t>75 000</w:t>
            </w:r>
          </w:p>
        </w:tc>
      </w:tr>
      <w:tr w:rsidR="00C3765A" w:rsidRPr="000D74E5" w:rsidTr="00CF28AD">
        <w:trPr>
          <w:trHeight w:val="388"/>
          <w:jc w:val="right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rPr>
                <w:b/>
                <w:color w:val="000000"/>
                <w:sz w:val="18"/>
                <w:szCs w:val="18"/>
              </w:rPr>
            </w:pPr>
            <w:r w:rsidRPr="000D74E5">
              <w:rPr>
                <w:b/>
                <w:color w:val="000000"/>
                <w:sz w:val="18"/>
                <w:szCs w:val="18"/>
              </w:rPr>
              <w:t>Yhteensä Naxos mukaan luettuna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74E5">
              <w:rPr>
                <w:b/>
                <w:color w:val="000000"/>
                <w:sz w:val="18"/>
                <w:szCs w:val="18"/>
              </w:rPr>
              <w:t>60 577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A" w:rsidRPr="000D74E5" w:rsidRDefault="00C3765A" w:rsidP="00CF28A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74E5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8 000</w:t>
            </w:r>
          </w:p>
        </w:tc>
      </w:tr>
      <w:bookmarkEnd w:id="3"/>
    </w:tbl>
    <w:p w:rsidR="00C3765A" w:rsidRPr="0018761A" w:rsidRDefault="00C3765A" w:rsidP="00C3765A"/>
    <w:p w:rsidR="00C3765A" w:rsidRDefault="00C3765A" w:rsidP="00C3765A"/>
    <w:p w:rsidR="00C3765A" w:rsidRPr="0018761A" w:rsidRDefault="00C3765A" w:rsidP="00C3765A">
      <w:pPr>
        <w:ind w:left="1304"/>
        <w:rPr>
          <w:color w:val="000000"/>
        </w:rPr>
      </w:pPr>
      <w:r w:rsidRPr="0018761A">
        <w:rPr>
          <w:color w:val="000000"/>
        </w:rPr>
        <w:t xml:space="preserve">Vaski-kirjastojen asukaslukuihin suhteutetut laskennalliset osuudet </w:t>
      </w:r>
      <w:r>
        <w:rPr>
          <w:color w:val="000000"/>
        </w:rPr>
        <w:t>alla olevassa</w:t>
      </w:r>
      <w:r w:rsidRPr="0018761A">
        <w:rPr>
          <w:color w:val="000000"/>
        </w:rPr>
        <w:t xml:space="preserve"> tauluko</w:t>
      </w:r>
      <w:r w:rsidRPr="0018761A">
        <w:rPr>
          <w:color w:val="000000"/>
        </w:rPr>
        <w:t>s</w:t>
      </w:r>
      <w:r w:rsidRPr="0018761A">
        <w:rPr>
          <w:color w:val="000000"/>
        </w:rPr>
        <w:t>sa</w:t>
      </w:r>
      <w:r>
        <w:rPr>
          <w:color w:val="000000"/>
        </w:rPr>
        <w:t>.</w:t>
      </w:r>
    </w:p>
    <w:p w:rsidR="00C3765A" w:rsidRPr="0018761A" w:rsidRDefault="00C3765A" w:rsidP="00C3765A"/>
    <w:tbl>
      <w:tblPr>
        <w:tblpPr w:leftFromText="141" w:rightFromText="141" w:vertAnchor="text" w:horzAnchor="margin" w:tblpXSpec="center" w:tblpY="107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1383"/>
        <w:gridCol w:w="1276"/>
        <w:gridCol w:w="1559"/>
        <w:gridCol w:w="1701"/>
        <w:gridCol w:w="1843"/>
        <w:gridCol w:w="1842"/>
      </w:tblGrid>
      <w:tr w:rsidR="00C3765A" w:rsidRPr="00313E9B" w:rsidTr="00CF28AD">
        <w:trPr>
          <w:trHeight w:val="702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313E9B" w:rsidRDefault="00C3765A" w:rsidP="00CF28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(lähde: Väest</w:t>
            </w:r>
            <w:r w:rsidRPr="00313E9B">
              <w:rPr>
                <w:color w:val="000000"/>
                <w:sz w:val="18"/>
                <w:szCs w:val="18"/>
              </w:rPr>
              <w:t>ö</w:t>
            </w:r>
            <w:r w:rsidRPr="00313E9B">
              <w:rPr>
                <w:color w:val="000000"/>
                <w:sz w:val="18"/>
                <w:szCs w:val="18"/>
              </w:rPr>
              <w:t>rekisterike</w:t>
            </w:r>
            <w:r w:rsidRPr="00313E9B">
              <w:rPr>
                <w:color w:val="000000"/>
                <w:sz w:val="18"/>
                <w:szCs w:val="18"/>
              </w:rPr>
              <w:t>s</w:t>
            </w:r>
            <w:r w:rsidRPr="00313E9B">
              <w:rPr>
                <w:color w:val="000000"/>
                <w:sz w:val="18"/>
                <w:szCs w:val="18"/>
              </w:rPr>
              <w:t xml:space="preserve">kus)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313E9B" w:rsidRDefault="00C3765A" w:rsidP="00CF28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313E9B" w:rsidRDefault="00C3765A" w:rsidP="00CF28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</w:p>
        </w:tc>
      </w:tr>
      <w:tr w:rsidR="00C3765A" w:rsidRPr="00313E9B" w:rsidTr="00CF28AD">
        <w:trPr>
          <w:trHeight w:val="1184"/>
        </w:trPr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Kunta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65A" w:rsidRPr="00313E9B" w:rsidRDefault="00C3765A" w:rsidP="00CF2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Asukasluku 31.12.2011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65A" w:rsidRPr="00313E9B" w:rsidRDefault="00C3765A" w:rsidP="00CF2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Asukasluku %-osuus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3765A" w:rsidRPr="00313E9B" w:rsidRDefault="00C3765A" w:rsidP="00CF28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Osuus FinELib-aineistoista ja OverDrivesta v.2013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765A" w:rsidRPr="00313E9B" w:rsidRDefault="00C3765A" w:rsidP="00CF28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Osuus FinELib-aineistoista, OverDrivesta ja Naxos:sta v.2013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C3765A" w:rsidRPr="00313E9B" w:rsidRDefault="00C3765A" w:rsidP="00CF28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Osuus e-aineistohankinnoi</w:t>
            </w:r>
            <w:r w:rsidRPr="00313E9B">
              <w:rPr>
                <w:b/>
                <w:bCs/>
                <w:color w:val="000000"/>
                <w:sz w:val="18"/>
                <w:szCs w:val="18"/>
              </w:rPr>
              <w:t>s</w:t>
            </w:r>
            <w:r w:rsidRPr="00313E9B">
              <w:rPr>
                <w:b/>
                <w:bCs/>
                <w:color w:val="000000"/>
                <w:sz w:val="18"/>
                <w:szCs w:val="18"/>
              </w:rPr>
              <w:t>ta v.2014 ilman Naxosta (ehdotus)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765A" w:rsidRPr="00313E9B" w:rsidRDefault="00C3765A" w:rsidP="00CF28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Osuus e-aineistohankinnoi</w:t>
            </w:r>
            <w:r w:rsidRPr="00313E9B">
              <w:rPr>
                <w:b/>
                <w:bCs/>
                <w:color w:val="000000"/>
                <w:sz w:val="18"/>
                <w:szCs w:val="18"/>
              </w:rPr>
              <w:t>s</w:t>
            </w:r>
            <w:r w:rsidRPr="00313E9B">
              <w:rPr>
                <w:b/>
                <w:bCs/>
                <w:color w:val="000000"/>
                <w:sz w:val="18"/>
                <w:szCs w:val="18"/>
              </w:rPr>
              <w:t>ta v.2014 Naxos mukaanlukien (e</w:t>
            </w:r>
            <w:r w:rsidRPr="00313E9B">
              <w:rPr>
                <w:b/>
                <w:bCs/>
                <w:color w:val="000000"/>
                <w:sz w:val="18"/>
                <w:szCs w:val="18"/>
              </w:rPr>
              <w:t>h</w:t>
            </w:r>
            <w:r w:rsidRPr="00313E9B">
              <w:rPr>
                <w:b/>
                <w:bCs/>
                <w:color w:val="000000"/>
                <w:sz w:val="18"/>
                <w:szCs w:val="18"/>
              </w:rPr>
              <w:t>dotus)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 xml:space="preserve">Kaarina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31 081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9,06 %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5 228,71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5 488,28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6 795,00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7 066,80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Kustavi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0,26 %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150,05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157,50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202,80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Laitila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8 408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2,45 %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1 413,94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1 484,14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1 837,50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1 911,00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Lieto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16 690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4,87 %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2 810,57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2 950,10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3 652,50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798,60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Masku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9 585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1 615,94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1 696,16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2 184,00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Mynämäki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8 044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2,35 %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1 356,23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1 423,56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1 762,50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1 833,00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Naantali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18 871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5,50 %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3 174,16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3 331,74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4 125,00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4 290,00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Nousiainen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4 814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1,40 %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807,97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848,08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1 092,00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Paimio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10 471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3,05 %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1 760,22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1 847,60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2 287,50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2 37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13E9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Pyhäranta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0,64 %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369,36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387,69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  <w:r w:rsidRPr="00313E9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Raisio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24 559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7,16 %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4 132,18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4 337,31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5 370,00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5 584,80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Rusko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5 870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1,71 %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986,88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1035,87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1 282,50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1 333,80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Sauvo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3 043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0,89 %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513,64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539,14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667,50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69</w:t>
            </w:r>
            <w:r>
              <w:rPr>
                <w:color w:val="000000"/>
                <w:sz w:val="18"/>
                <w:szCs w:val="18"/>
              </w:rPr>
              <w:t>4,2</w:t>
            </w:r>
            <w:r w:rsidRPr="00313E9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Taivassalo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0,49 %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282,79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296,83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367,50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382,20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178 630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52,10 %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30 073,72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31560,62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39 075,00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40 638</w:t>
            </w:r>
            <w:r w:rsidRPr="00313E9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lastRenderedPageBreak/>
              <w:t>Uusikaupunki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15 685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4,57 %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2 637,44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2768,37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3 427,50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3 564,60</w:t>
            </w:r>
          </w:p>
        </w:tc>
      </w:tr>
      <w:tr w:rsidR="00C3765A" w:rsidRPr="00313E9B" w:rsidTr="00CF28AD">
        <w:trPr>
          <w:trHeight w:val="292"/>
        </w:trPr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Vehmaa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0,69 %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398,21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417,98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517,50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53</w:t>
            </w:r>
            <w:r>
              <w:rPr>
                <w:color w:val="000000"/>
                <w:sz w:val="18"/>
                <w:szCs w:val="18"/>
              </w:rPr>
              <w:t>8,20</w:t>
            </w:r>
          </w:p>
        </w:tc>
      </w:tr>
      <w:tr w:rsidR="00C3765A" w:rsidRPr="00313E9B" w:rsidTr="00CF28AD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342 886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100,00 %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57 712,00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60 577,00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5A" w:rsidRPr="00313E9B" w:rsidRDefault="00C3765A" w:rsidP="00CF28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78 000</w:t>
            </w:r>
            <w:r w:rsidRPr="00313E9B">
              <w:rPr>
                <w:color w:val="000000"/>
                <w:sz w:val="18"/>
                <w:szCs w:val="18"/>
              </w:rPr>
              <w:t>,00</w:t>
            </w:r>
          </w:p>
        </w:tc>
      </w:tr>
    </w:tbl>
    <w:p w:rsidR="00C3765A" w:rsidRPr="0018761A" w:rsidRDefault="00C3765A" w:rsidP="00C3765A"/>
    <w:p w:rsidR="00272CF5" w:rsidRDefault="00272CF5" w:rsidP="00F05D43">
      <w:pPr>
        <w:ind w:left="720"/>
        <w:rPr>
          <w:rFonts w:cs="Arial"/>
        </w:rPr>
      </w:pPr>
    </w:p>
    <w:p w:rsidR="00C3765A" w:rsidRDefault="00C3765A" w:rsidP="00B92915">
      <w:pPr>
        <w:ind w:firstLine="720"/>
        <w:rPr>
          <w:rFonts w:cs="Arial"/>
        </w:rPr>
      </w:pPr>
    </w:p>
    <w:p w:rsidR="00B16F09" w:rsidRDefault="00B16F09" w:rsidP="00B92915">
      <w:pPr>
        <w:ind w:firstLine="720"/>
        <w:rPr>
          <w:rFonts w:cs="Arial"/>
        </w:rPr>
      </w:pPr>
    </w:p>
    <w:p w:rsidR="00B16F09" w:rsidRDefault="00B16F09" w:rsidP="00B92915">
      <w:pPr>
        <w:ind w:firstLine="720"/>
        <w:rPr>
          <w:rFonts w:cs="Arial"/>
        </w:rPr>
      </w:pPr>
    </w:p>
    <w:p w:rsidR="00272CF5" w:rsidRDefault="00272CF5" w:rsidP="00B92915">
      <w:pPr>
        <w:ind w:firstLine="720"/>
        <w:rPr>
          <w:rFonts w:cs="Arial"/>
        </w:rPr>
      </w:pPr>
      <w:r>
        <w:rPr>
          <w:rFonts w:cs="Arial"/>
        </w:rPr>
        <w:t>Turussa on ehdotettu näitä aineistoja:</w:t>
      </w:r>
    </w:p>
    <w:p w:rsidR="00272CF5" w:rsidRDefault="00272CF5" w:rsidP="00F05D43">
      <w:pPr>
        <w:pStyle w:val="Vaintekstin"/>
        <w:ind w:left="-584"/>
        <w:rPr>
          <w:rFonts w:ascii="Arial" w:hAnsi="Arial" w:cs="Arial"/>
        </w:rPr>
      </w:pPr>
    </w:p>
    <w:p w:rsidR="00272CF5" w:rsidRPr="00C80C18" w:rsidRDefault="00272CF5" w:rsidP="00F05D43">
      <w:pPr>
        <w:ind w:left="720"/>
      </w:pPr>
      <w:r w:rsidRPr="00C80C18">
        <w:t>Alma-median arkisto</w:t>
      </w:r>
    </w:p>
    <w:p w:rsidR="00272CF5" w:rsidRPr="00272CF5" w:rsidRDefault="00272CF5" w:rsidP="00F05D43">
      <w:pPr>
        <w:ind w:left="720"/>
      </w:pPr>
      <w:r w:rsidRPr="00272CF5">
        <w:t xml:space="preserve">ARKISTO (HS, I-S…) </w:t>
      </w:r>
      <w:r w:rsidRPr="00272CF5">
        <w:rPr>
          <w:b/>
        </w:rPr>
        <w:t>x 2</w:t>
      </w:r>
    </w:p>
    <w:p w:rsidR="00272CF5" w:rsidRPr="00C80C18" w:rsidRDefault="00272CF5" w:rsidP="00F05D43">
      <w:pPr>
        <w:ind w:left="720"/>
      </w:pPr>
      <w:r w:rsidRPr="00C80C18">
        <w:t>ARTstor Digital Library</w:t>
      </w:r>
    </w:p>
    <w:p w:rsidR="00272CF5" w:rsidRPr="00F11DE2" w:rsidRDefault="00272CF5" w:rsidP="00F05D43">
      <w:pPr>
        <w:ind w:left="720"/>
      </w:pPr>
      <w:r w:rsidRPr="00F11DE2">
        <w:t>Ebsco e-kirjat ja kirjapaketit</w:t>
      </w:r>
    </w:p>
    <w:p w:rsidR="00272CF5" w:rsidRPr="0029136B" w:rsidRDefault="00272CF5" w:rsidP="00F05D43">
      <w:pPr>
        <w:ind w:left="720"/>
        <w:rPr>
          <w:lang w:val="en-US"/>
        </w:rPr>
      </w:pPr>
      <w:r w:rsidRPr="0029136B">
        <w:rPr>
          <w:lang w:val="en-US"/>
        </w:rPr>
        <w:t>ELIB</w:t>
      </w:r>
    </w:p>
    <w:p w:rsidR="00272CF5" w:rsidRPr="0029136B" w:rsidRDefault="00272CF5" w:rsidP="00F05D43">
      <w:pPr>
        <w:ind w:left="720"/>
        <w:rPr>
          <w:lang w:val="en-US"/>
        </w:rPr>
      </w:pPr>
      <w:r w:rsidRPr="0029136B">
        <w:rPr>
          <w:lang w:val="en-US"/>
        </w:rPr>
        <w:t>ePress</w:t>
      </w:r>
    </w:p>
    <w:p w:rsidR="00272CF5" w:rsidRPr="0029136B" w:rsidRDefault="00272CF5" w:rsidP="00F05D43">
      <w:pPr>
        <w:ind w:left="720"/>
        <w:rPr>
          <w:lang w:val="en-US"/>
        </w:rPr>
      </w:pPr>
      <w:r w:rsidRPr="0029136B">
        <w:rPr>
          <w:lang w:val="en-US"/>
        </w:rPr>
        <w:t>HS Digilehti</w:t>
      </w:r>
    </w:p>
    <w:p w:rsidR="00B16F09" w:rsidRPr="0029136B" w:rsidRDefault="00B16F09" w:rsidP="00F05D43">
      <w:pPr>
        <w:ind w:left="720"/>
        <w:rPr>
          <w:lang w:val="en-US"/>
        </w:rPr>
      </w:pPr>
      <w:r w:rsidRPr="0029136B">
        <w:rPr>
          <w:lang w:val="en-US"/>
        </w:rPr>
        <w:t>TS Digilehti</w:t>
      </w:r>
    </w:p>
    <w:p w:rsidR="00272CF5" w:rsidRPr="00F11DE2" w:rsidRDefault="00272CF5" w:rsidP="00F05D43">
      <w:pPr>
        <w:ind w:left="720"/>
      </w:pPr>
      <w:r>
        <w:t>Jari Metsämuurosen e-kirjat</w:t>
      </w:r>
    </w:p>
    <w:p w:rsidR="00272CF5" w:rsidRPr="0029136B" w:rsidRDefault="00272CF5" w:rsidP="00F05D43">
      <w:pPr>
        <w:ind w:left="720"/>
      </w:pPr>
      <w:r w:rsidRPr="0029136B">
        <w:t xml:space="preserve">Long Play </w:t>
      </w:r>
      <w:r w:rsidRPr="0029136B">
        <w:rPr>
          <w:b/>
        </w:rPr>
        <w:t>x 2</w:t>
      </w:r>
    </w:p>
    <w:p w:rsidR="00272CF5" w:rsidRPr="0029136B" w:rsidRDefault="00272CF5" w:rsidP="00F05D43">
      <w:pPr>
        <w:ind w:left="720"/>
        <w:rPr>
          <w:b/>
        </w:rPr>
      </w:pPr>
      <w:r w:rsidRPr="0029136B">
        <w:t xml:space="preserve">Oppiportti </w:t>
      </w:r>
      <w:r w:rsidRPr="0029136B">
        <w:rPr>
          <w:b/>
        </w:rPr>
        <w:t>x 2</w:t>
      </w:r>
    </w:p>
    <w:p w:rsidR="00272CF5" w:rsidRPr="00C80C18" w:rsidRDefault="00272CF5" w:rsidP="00F05D43">
      <w:pPr>
        <w:ind w:left="720"/>
      </w:pPr>
      <w:r w:rsidRPr="00C80C18">
        <w:t>Rakennustiedon verkkopalvelut</w:t>
      </w:r>
    </w:p>
    <w:p w:rsidR="00272CF5" w:rsidRPr="00C80C18" w:rsidRDefault="00272CF5" w:rsidP="00F05D43">
      <w:pPr>
        <w:ind w:left="720"/>
      </w:pPr>
      <w:r w:rsidRPr="00C80C18">
        <w:t>Taylor &amp; Francis Online</w:t>
      </w:r>
    </w:p>
    <w:p w:rsidR="00272CF5" w:rsidRPr="00F11DE2" w:rsidRDefault="00272CF5" w:rsidP="00F05D43">
      <w:pPr>
        <w:ind w:left="720"/>
      </w:pPr>
      <w:r w:rsidRPr="00F11DE2">
        <w:t>Terveysportti</w:t>
      </w:r>
    </w:p>
    <w:p w:rsidR="00272CF5" w:rsidRPr="00F11DE2" w:rsidRDefault="00272CF5" w:rsidP="00F05D43">
      <w:pPr>
        <w:ind w:left="720"/>
      </w:pPr>
      <w:r w:rsidRPr="00F11DE2">
        <w:t>Theatre in video… (+muita taiteita)</w:t>
      </w:r>
    </w:p>
    <w:p w:rsidR="00272CF5" w:rsidRDefault="00272CF5" w:rsidP="00F05D43">
      <w:pPr>
        <w:ind w:left="720"/>
      </w:pPr>
      <w:r w:rsidRPr="00F11DE2">
        <w:t>WGSN – Fashion trend forecasting</w:t>
      </w:r>
    </w:p>
    <w:p w:rsidR="00272CF5" w:rsidRDefault="00272CF5" w:rsidP="00F05D43">
      <w:pPr>
        <w:ind w:left="720"/>
      </w:pPr>
    </w:p>
    <w:p w:rsidR="00272CF5" w:rsidRDefault="00272CF5" w:rsidP="00F05D43">
      <w:pPr>
        <w:ind w:left="720"/>
      </w:pPr>
      <w:r>
        <w:t>Kukin kirjasto ehdottaa itsenäisesti omat aineistonsa, mutta keskustellaan siitä, olisiko joitakin a</w:t>
      </w:r>
      <w:r>
        <w:t>i</w:t>
      </w:r>
      <w:r>
        <w:t>neistoja, joille kannattaisi keskittää ääniä. Aineistot voivat tulla myös etäkäyttöisiksi, jolloin ne on hankittava Vaskeille yhteisiksi. Tämäkin näkökulma on hyvä pitää mielessä, kun mietitään tarjo</w:t>
      </w:r>
      <w:r>
        <w:t>n</w:t>
      </w:r>
      <w:r>
        <w:t>taa.</w:t>
      </w:r>
    </w:p>
    <w:p w:rsidR="00E9685D" w:rsidRDefault="00E9685D" w:rsidP="00F05D43">
      <w:pPr>
        <w:ind w:left="720"/>
      </w:pPr>
    </w:p>
    <w:p w:rsidR="00E9685D" w:rsidRDefault="00E9685D" w:rsidP="00B043AB">
      <w:r>
        <w:t>Sovittiin että</w:t>
      </w:r>
      <w:r w:rsidR="004E6A6E">
        <w:t xml:space="preserve"> </w:t>
      </w:r>
      <w:r w:rsidR="00EE6E1A">
        <w:t>uusitaan sopimukset Ebscoa lukuun ottamatta ja käytetään säästynyt summa (n. 3 900 €) e-kirjoihin.</w:t>
      </w:r>
    </w:p>
    <w:p w:rsidR="00EE6E1A" w:rsidRDefault="00FD5211" w:rsidP="00B043AB">
      <w:r>
        <w:t xml:space="preserve">E-aineistojen markkinointia on edelleen syytä voimistaa – esim. </w:t>
      </w:r>
      <w:r w:rsidR="00EE6E1A">
        <w:t>Vaskin kiertävä v</w:t>
      </w:r>
      <w:r>
        <w:t>inkkausrinki e-aineistoille!</w:t>
      </w:r>
    </w:p>
    <w:p w:rsidR="00272CF5" w:rsidRDefault="00272CF5" w:rsidP="00F05D43">
      <w:pPr>
        <w:ind w:left="720"/>
        <w:rPr>
          <w:rFonts w:cs="Arial"/>
        </w:rPr>
      </w:pPr>
    </w:p>
    <w:p w:rsidR="00272CF5" w:rsidRPr="00A52B5B" w:rsidRDefault="00B92915" w:rsidP="00B92915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A52B5B">
        <w:rPr>
          <w:rFonts w:ascii="Arial" w:hAnsi="Arial" w:cs="Arial"/>
          <w:b/>
          <w:sz w:val="22"/>
          <w:szCs w:val="22"/>
        </w:rPr>
        <w:t>Vinkkauskirjojen hankinta</w:t>
      </w:r>
      <w:r w:rsidR="00357F25" w:rsidRPr="00A52B5B">
        <w:rPr>
          <w:rFonts w:ascii="Arial" w:hAnsi="Arial" w:cs="Arial"/>
          <w:b/>
          <w:sz w:val="22"/>
          <w:szCs w:val="22"/>
        </w:rPr>
        <w:t>määrät</w:t>
      </w:r>
    </w:p>
    <w:p w:rsidR="00B92915" w:rsidRDefault="00B92915" w:rsidP="00B92915">
      <w:pPr>
        <w:rPr>
          <w:rFonts w:cs="Arial"/>
          <w:b/>
        </w:rPr>
      </w:pPr>
    </w:p>
    <w:p w:rsidR="00B92915" w:rsidRDefault="00FD5211" w:rsidP="00B92915">
      <w:pPr>
        <w:ind w:left="720"/>
        <w:rPr>
          <w:rFonts w:cs="Arial"/>
        </w:rPr>
      </w:pPr>
      <w:r>
        <w:rPr>
          <w:rFonts w:cs="Arial"/>
        </w:rPr>
        <w:t>Kirjavinkkarimme</w:t>
      </w:r>
      <w:r w:rsidR="00E9685D">
        <w:rPr>
          <w:rFonts w:cs="Arial"/>
        </w:rPr>
        <w:t xml:space="preserve"> toivo</w:t>
      </w:r>
      <w:r>
        <w:rPr>
          <w:rFonts w:cs="Arial"/>
        </w:rPr>
        <w:t>vat</w:t>
      </w:r>
      <w:r w:rsidR="00E9685D">
        <w:rPr>
          <w:rFonts w:cs="Arial"/>
        </w:rPr>
        <w:t>, että muutkin Vaskikirjastot hankkisivat vinkkausaineistoa Turun tavoin isommin kappalemäärin kokoelmiinsa.</w:t>
      </w:r>
    </w:p>
    <w:p w:rsidR="00E9685D" w:rsidRDefault="00E9685D" w:rsidP="00B92915">
      <w:pPr>
        <w:ind w:left="720"/>
        <w:rPr>
          <w:rFonts w:cs="Arial"/>
        </w:rPr>
      </w:pPr>
    </w:p>
    <w:p w:rsidR="00E9685D" w:rsidRDefault="00E9685D" w:rsidP="00B043AB">
      <w:pPr>
        <w:rPr>
          <w:rFonts w:cs="Arial"/>
        </w:rPr>
      </w:pPr>
      <w:r>
        <w:rPr>
          <w:rFonts w:cs="Arial"/>
        </w:rPr>
        <w:t xml:space="preserve">Sovittiin että </w:t>
      </w:r>
      <w:r w:rsidR="00B043AB">
        <w:rPr>
          <w:rFonts w:cs="Arial"/>
        </w:rPr>
        <w:t xml:space="preserve">lähetämme terveisiä lasten Vaskille: </w:t>
      </w:r>
      <w:r w:rsidR="00E06217">
        <w:rPr>
          <w:rFonts w:cs="Arial"/>
        </w:rPr>
        <w:t>vinkkauskirjojen hankintamääriin Vaski-alueella on hyvä kiinnittää huomiota ja koordinoida hankintoja kokonaisuutta ajatellen.</w:t>
      </w:r>
    </w:p>
    <w:p w:rsidR="00B043AB" w:rsidRDefault="00B043AB" w:rsidP="00B043AB">
      <w:pPr>
        <w:rPr>
          <w:rFonts w:cs="Arial"/>
        </w:rPr>
      </w:pPr>
    </w:p>
    <w:p w:rsidR="00B043AB" w:rsidRPr="003C0EC6" w:rsidRDefault="00B043AB" w:rsidP="00B043AB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3C0EC6">
        <w:rPr>
          <w:rFonts w:ascii="Arial" w:hAnsi="Arial" w:cs="Arial"/>
          <w:b/>
          <w:sz w:val="22"/>
          <w:szCs w:val="22"/>
        </w:rPr>
        <w:t>Muut asiat</w:t>
      </w:r>
    </w:p>
    <w:p w:rsidR="00B043AB" w:rsidRPr="003C0EC6" w:rsidRDefault="00B043AB" w:rsidP="00B043AB">
      <w:pPr>
        <w:ind w:left="720"/>
        <w:rPr>
          <w:rFonts w:cs="Arial"/>
        </w:rPr>
      </w:pPr>
    </w:p>
    <w:p w:rsidR="00B043AB" w:rsidRPr="003C0EC6" w:rsidRDefault="003C0EC6" w:rsidP="003C0EC6">
      <w:pPr>
        <w:ind w:firstLine="720"/>
        <w:rPr>
          <w:rFonts w:cs="Arial"/>
        </w:rPr>
      </w:pPr>
      <w:r w:rsidRPr="003C0EC6">
        <w:rPr>
          <w:rFonts w:cs="Arial"/>
        </w:rPr>
        <w:t>Käyttäjät ja kokoelmat</w:t>
      </w:r>
      <w:r>
        <w:rPr>
          <w:rFonts w:cs="Arial"/>
        </w:rPr>
        <w:t xml:space="preserve"> -työpaja</w:t>
      </w:r>
    </w:p>
    <w:p w:rsidR="003C0EC6" w:rsidRPr="003C0EC6" w:rsidRDefault="003C0EC6" w:rsidP="003C0EC6">
      <w:pPr>
        <w:pStyle w:val="Luettelokappale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3C0EC6">
        <w:rPr>
          <w:rFonts w:ascii="Arial" w:hAnsi="Arial" w:cs="Arial"/>
          <w:sz w:val="22"/>
          <w:szCs w:val="22"/>
        </w:rPr>
        <w:t>kysynnän ja tarjonnan kohtaaminen tavoitteena</w:t>
      </w:r>
    </w:p>
    <w:p w:rsidR="003C0EC6" w:rsidRDefault="00FD5211" w:rsidP="003C0EC6">
      <w:pPr>
        <w:pStyle w:val="Luettelokappale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käytännön työkaluksi Vaski-kirjastojen kokoelmatyölle 2014</w:t>
      </w:r>
    </w:p>
    <w:p w:rsidR="003C0EC6" w:rsidRDefault="003C0EC6" w:rsidP="003C0EC6">
      <w:pPr>
        <w:rPr>
          <w:rFonts w:cs="Arial"/>
        </w:rPr>
      </w:pPr>
    </w:p>
    <w:p w:rsidR="003C0EC6" w:rsidRPr="00562CC4" w:rsidRDefault="00562CC4" w:rsidP="003C0EC6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62CC4">
        <w:rPr>
          <w:rFonts w:ascii="Arial" w:hAnsi="Arial" w:cs="Arial"/>
          <w:sz w:val="22"/>
          <w:szCs w:val="22"/>
        </w:rPr>
        <w:t>Seuraava kokous ensi vuo</w:t>
      </w:r>
      <w:r w:rsidR="00FD5211">
        <w:rPr>
          <w:rFonts w:ascii="Arial" w:hAnsi="Arial" w:cs="Arial"/>
          <w:sz w:val="22"/>
          <w:szCs w:val="22"/>
        </w:rPr>
        <w:t>den ensineljänneksellä</w:t>
      </w:r>
      <w:r w:rsidRPr="00562CC4">
        <w:rPr>
          <w:rFonts w:ascii="Arial" w:hAnsi="Arial" w:cs="Arial"/>
          <w:sz w:val="22"/>
          <w:szCs w:val="22"/>
        </w:rPr>
        <w:t>, ellei tähdellistä asiaa ilmaannu</w:t>
      </w:r>
      <w:r>
        <w:rPr>
          <w:rFonts w:ascii="Arial" w:hAnsi="Arial" w:cs="Arial"/>
          <w:sz w:val="22"/>
          <w:szCs w:val="22"/>
        </w:rPr>
        <w:t xml:space="preserve"> ennen sitä.</w:t>
      </w:r>
    </w:p>
    <w:p w:rsidR="003C0EC6" w:rsidRPr="003C0EC6" w:rsidRDefault="003C0EC6" w:rsidP="003C0EC6">
      <w:pPr>
        <w:rPr>
          <w:rFonts w:cs="Arial"/>
        </w:rPr>
      </w:pPr>
    </w:p>
    <w:p w:rsidR="00B043AB" w:rsidRPr="00B043AB" w:rsidRDefault="00B043AB" w:rsidP="00B043AB">
      <w:pPr>
        <w:rPr>
          <w:rFonts w:cs="Arial"/>
        </w:rPr>
      </w:pPr>
    </w:p>
    <w:sectPr w:rsidR="00B043AB" w:rsidRPr="00B043AB" w:rsidSect="00A31BEF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D4" w:rsidRDefault="002629D4" w:rsidP="00D45142">
      <w:r>
        <w:separator/>
      </w:r>
    </w:p>
  </w:endnote>
  <w:endnote w:type="continuationSeparator" w:id="0">
    <w:p w:rsidR="002629D4" w:rsidRDefault="002629D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D4" w:rsidRDefault="002629D4" w:rsidP="00D45142">
      <w:r>
        <w:separator/>
      </w:r>
    </w:p>
  </w:footnote>
  <w:footnote w:type="continuationSeparator" w:id="0">
    <w:p w:rsidR="002629D4" w:rsidRDefault="002629D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584024E"/>
    <w:multiLevelType w:val="hybridMultilevel"/>
    <w:tmpl w:val="6A3603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84655"/>
    <w:multiLevelType w:val="hybridMultilevel"/>
    <w:tmpl w:val="C6203BA8"/>
    <w:lvl w:ilvl="0" w:tplc="469655B0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385F45EB"/>
    <w:multiLevelType w:val="hybridMultilevel"/>
    <w:tmpl w:val="2BA0EA08"/>
    <w:lvl w:ilvl="0" w:tplc="16E23A3C">
      <w:start w:val="18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3EA16130"/>
    <w:multiLevelType w:val="hybridMultilevel"/>
    <w:tmpl w:val="5CC42F36"/>
    <w:lvl w:ilvl="0" w:tplc="16E23A3C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2A4A49"/>
    <w:multiLevelType w:val="hybridMultilevel"/>
    <w:tmpl w:val="80D01B3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903331"/>
    <w:multiLevelType w:val="hybridMultilevel"/>
    <w:tmpl w:val="DF24F35C"/>
    <w:lvl w:ilvl="0" w:tplc="850477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5AD290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2A7DA4"/>
    <w:multiLevelType w:val="hybridMultilevel"/>
    <w:tmpl w:val="7F3A4B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0">
    <w:nsid w:val="667A278E"/>
    <w:multiLevelType w:val="hybridMultilevel"/>
    <w:tmpl w:val="7520ADBA"/>
    <w:lvl w:ilvl="0" w:tplc="16E23A3C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43BB3"/>
    <w:multiLevelType w:val="hybridMultilevel"/>
    <w:tmpl w:val="DA881C04"/>
    <w:lvl w:ilvl="0" w:tplc="16E23A3C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20"/>
  </w:num>
  <w:num w:numId="19">
    <w:abstractNumId w:val="21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E"/>
    <w:rsid w:val="00010C1D"/>
    <w:rsid w:val="00024DD7"/>
    <w:rsid w:val="000634FB"/>
    <w:rsid w:val="000A01C5"/>
    <w:rsid w:val="000E24C9"/>
    <w:rsid w:val="000F1909"/>
    <w:rsid w:val="001E4029"/>
    <w:rsid w:val="001F2B8E"/>
    <w:rsid w:val="00221647"/>
    <w:rsid w:val="002629D4"/>
    <w:rsid w:val="00272CF5"/>
    <w:rsid w:val="0029136B"/>
    <w:rsid w:val="002C1CFF"/>
    <w:rsid w:val="002F6053"/>
    <w:rsid w:val="00357F25"/>
    <w:rsid w:val="00377D27"/>
    <w:rsid w:val="0038480F"/>
    <w:rsid w:val="003B1AEE"/>
    <w:rsid w:val="003C0EC6"/>
    <w:rsid w:val="003C1064"/>
    <w:rsid w:val="003D3A38"/>
    <w:rsid w:val="00402038"/>
    <w:rsid w:val="0045789B"/>
    <w:rsid w:val="004E3C33"/>
    <w:rsid w:val="004E6A6E"/>
    <w:rsid w:val="00511712"/>
    <w:rsid w:val="00562CC4"/>
    <w:rsid w:val="005A1AB9"/>
    <w:rsid w:val="005D3229"/>
    <w:rsid w:val="005E0D42"/>
    <w:rsid w:val="00606488"/>
    <w:rsid w:val="006377C7"/>
    <w:rsid w:val="00654E35"/>
    <w:rsid w:val="006D4522"/>
    <w:rsid w:val="006E38D5"/>
    <w:rsid w:val="00751238"/>
    <w:rsid w:val="00760019"/>
    <w:rsid w:val="007D231F"/>
    <w:rsid w:val="008765B0"/>
    <w:rsid w:val="00893CEB"/>
    <w:rsid w:val="00895772"/>
    <w:rsid w:val="00936891"/>
    <w:rsid w:val="00975673"/>
    <w:rsid w:val="009B0E7A"/>
    <w:rsid w:val="009E1677"/>
    <w:rsid w:val="00A061EE"/>
    <w:rsid w:val="00A230CB"/>
    <w:rsid w:val="00A26070"/>
    <w:rsid w:val="00A31BEF"/>
    <w:rsid w:val="00A32547"/>
    <w:rsid w:val="00A34000"/>
    <w:rsid w:val="00A52B5B"/>
    <w:rsid w:val="00B043AB"/>
    <w:rsid w:val="00B1319E"/>
    <w:rsid w:val="00B16F09"/>
    <w:rsid w:val="00B6437B"/>
    <w:rsid w:val="00B81D9D"/>
    <w:rsid w:val="00B84AC0"/>
    <w:rsid w:val="00B91E39"/>
    <w:rsid w:val="00B92915"/>
    <w:rsid w:val="00BB2DD8"/>
    <w:rsid w:val="00BF0BF9"/>
    <w:rsid w:val="00BF602F"/>
    <w:rsid w:val="00C36AED"/>
    <w:rsid w:val="00C3765A"/>
    <w:rsid w:val="00D10C57"/>
    <w:rsid w:val="00D42981"/>
    <w:rsid w:val="00D45142"/>
    <w:rsid w:val="00D47A9B"/>
    <w:rsid w:val="00D64434"/>
    <w:rsid w:val="00DA57E2"/>
    <w:rsid w:val="00DE0CFF"/>
    <w:rsid w:val="00E06217"/>
    <w:rsid w:val="00E100B8"/>
    <w:rsid w:val="00E17D10"/>
    <w:rsid w:val="00E73F6A"/>
    <w:rsid w:val="00E9685D"/>
    <w:rsid w:val="00EB60ED"/>
    <w:rsid w:val="00EB6C3D"/>
    <w:rsid w:val="00ED11CA"/>
    <w:rsid w:val="00EE6E1A"/>
    <w:rsid w:val="00F04A0E"/>
    <w:rsid w:val="00F05D43"/>
    <w:rsid w:val="00F771F8"/>
    <w:rsid w:val="00FA3D41"/>
    <w:rsid w:val="00FC10BD"/>
    <w:rsid w:val="00FC5A97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A061E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72CF5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272CF5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72CF5"/>
    <w:rPr>
      <w:rFonts w:ascii="Calibri" w:eastAsiaTheme="minorEastAsia" w:hAnsi="Calibri" w:cs="Times New Roman"/>
      <w:szCs w:val="21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B929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A061E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72CF5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272CF5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72CF5"/>
    <w:rPr>
      <w:rFonts w:ascii="Calibri" w:eastAsiaTheme="minorEastAsia" w:hAnsi="Calibri" w:cs="Times New Roman"/>
      <w:szCs w:val="21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B92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5590-A947-4261-8860-9C5AEFA8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0</TotalTime>
  <Pages>3</Pages>
  <Words>623</Words>
  <Characters>5053</Characters>
  <Application>Microsoft Office Word</Application>
  <DocSecurity>4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2013-10-30T08:08:00Z</dcterms:created>
  <dcterms:modified xsi:type="dcterms:W3CDTF">2013-10-30T08:08:00Z</dcterms:modified>
</cp:coreProperties>
</file>