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24" w:rsidRDefault="00C165DF" w:rsidP="00BF4B18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bookmarkStart w:id="0" w:name="_GoBack"/>
      <w:bookmarkEnd w:id="0"/>
      <w:r>
        <w:rPr>
          <w:rFonts w:asciiTheme="majorHAnsi" w:hAnsiTheme="majorHAnsi"/>
          <w:color w:val="244061" w:themeColor="accent1" w:themeShade="80"/>
          <w:sz w:val="48"/>
          <w:szCs w:val="48"/>
        </w:rPr>
        <w:t>VASKI</w:t>
      </w:r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-kirjastojen </w:t>
      </w:r>
      <w:r w:rsidR="00716049">
        <w:rPr>
          <w:rFonts w:asciiTheme="majorHAnsi" w:hAnsiTheme="majorHAnsi"/>
          <w:color w:val="244061" w:themeColor="accent1" w:themeShade="80"/>
          <w:sz w:val="48"/>
          <w:szCs w:val="48"/>
        </w:rPr>
        <w:t>e-aineistolinjaus</w:t>
      </w:r>
      <w:r w:rsidR="00871524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</w:t>
      </w:r>
    </w:p>
    <w:p w:rsidR="00EE5D21" w:rsidRPr="00F84D6A" w:rsidRDefault="00871524" w:rsidP="00BF4B18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r>
        <w:rPr>
          <w:rFonts w:asciiTheme="majorHAnsi" w:hAnsiTheme="majorHAnsi"/>
          <w:color w:val="244061" w:themeColor="accent1" w:themeShade="80"/>
          <w:sz w:val="48"/>
          <w:szCs w:val="48"/>
        </w:rPr>
        <w:t>vuosille 2013-2014</w:t>
      </w:r>
    </w:p>
    <w:p w:rsidR="002066B8" w:rsidRDefault="002066B8" w:rsidP="00C833AA">
      <w:pPr>
        <w:widowControl/>
        <w:rPr>
          <w:rFonts w:cs="Calibri"/>
          <w:szCs w:val="22"/>
          <w:lang w:eastAsia="en-US"/>
        </w:rPr>
      </w:pPr>
    </w:p>
    <w:p w:rsidR="00C41980" w:rsidRPr="00B47033" w:rsidRDefault="002066B8" w:rsidP="00C833AA">
      <w:pPr>
        <w:ind w:left="1276"/>
        <w:rPr>
          <w:szCs w:val="22"/>
        </w:rPr>
      </w:pPr>
      <w:r w:rsidRPr="00B47033">
        <w:rPr>
          <w:szCs w:val="22"/>
        </w:rPr>
        <w:t>Vaski-kirjastojen sähköinen kokoelma eli e-kokoelma on yhteiskäyttöinen ja se koostuu etäkäyttöisistä tietokannoista, sähköisistä palveluista ja e-kirjoista. E-kokoelma täy</w:t>
      </w:r>
      <w:r w:rsidR="00C41980" w:rsidRPr="00B47033">
        <w:rPr>
          <w:szCs w:val="22"/>
        </w:rPr>
        <w:t>dentää fyysistä kokoelmaa. S</w:t>
      </w:r>
      <w:r w:rsidR="009B3F0F">
        <w:rPr>
          <w:szCs w:val="22"/>
        </w:rPr>
        <w:t>iihen voi tutustua</w:t>
      </w:r>
      <w:r w:rsidRPr="00B47033">
        <w:rPr>
          <w:szCs w:val="22"/>
        </w:rPr>
        <w:t xml:space="preserve"> Vaski</w:t>
      </w:r>
      <w:r w:rsidR="00C437F3">
        <w:rPr>
          <w:szCs w:val="22"/>
        </w:rPr>
        <w:t xml:space="preserve">n </w:t>
      </w:r>
      <w:r w:rsidRPr="00B47033">
        <w:rPr>
          <w:szCs w:val="22"/>
        </w:rPr>
        <w:t>verkkokirjaston kautta.</w:t>
      </w:r>
      <w:r w:rsidR="008614E2">
        <w:rPr>
          <w:szCs w:val="22"/>
        </w:rPr>
        <w:t xml:space="preserve"> Etäkäyttöisten ti</w:t>
      </w:r>
      <w:r w:rsidR="008614E2">
        <w:rPr>
          <w:szCs w:val="22"/>
        </w:rPr>
        <w:t>e</w:t>
      </w:r>
      <w:r w:rsidR="008614E2">
        <w:rPr>
          <w:szCs w:val="22"/>
        </w:rPr>
        <w:t xml:space="preserve">tokantojen käyttö kirjaston </w:t>
      </w:r>
      <w:r w:rsidR="008614E2" w:rsidRPr="008614E2">
        <w:rPr>
          <w:szCs w:val="22"/>
        </w:rPr>
        <w:t>ulkopuolella olevilta tietokoneilta edellyttää</w:t>
      </w:r>
      <w:r w:rsidRPr="008614E2">
        <w:rPr>
          <w:szCs w:val="22"/>
        </w:rPr>
        <w:t xml:space="preserve"> </w:t>
      </w:r>
      <w:r w:rsidR="008614E2" w:rsidRPr="008614E2">
        <w:rPr>
          <w:color w:val="111111"/>
          <w:szCs w:val="22"/>
        </w:rPr>
        <w:t>kirjautumista Nelli-portaaliin. Kirjautumiseen tarvitaan Vaski-kirjastokortin numero ja nelinumeroinen tunnu</w:t>
      </w:r>
      <w:r w:rsidR="008614E2" w:rsidRPr="008614E2">
        <w:rPr>
          <w:color w:val="111111"/>
          <w:szCs w:val="22"/>
        </w:rPr>
        <w:t>s</w:t>
      </w:r>
      <w:r w:rsidR="008614E2" w:rsidRPr="008614E2">
        <w:rPr>
          <w:color w:val="111111"/>
          <w:szCs w:val="22"/>
        </w:rPr>
        <w:t>luku.</w:t>
      </w:r>
    </w:p>
    <w:p w:rsidR="00C41980" w:rsidRPr="00B47033" w:rsidRDefault="00C41980" w:rsidP="00C833AA">
      <w:pPr>
        <w:ind w:left="1276"/>
        <w:rPr>
          <w:szCs w:val="22"/>
        </w:rPr>
      </w:pPr>
    </w:p>
    <w:p w:rsidR="002066B8" w:rsidRPr="00B47033" w:rsidRDefault="00C41980" w:rsidP="00C833AA">
      <w:pPr>
        <w:ind w:left="1276"/>
        <w:rPr>
          <w:szCs w:val="22"/>
        </w:rPr>
      </w:pPr>
      <w:r w:rsidRPr="00B47033">
        <w:rPr>
          <w:szCs w:val="22"/>
        </w:rPr>
        <w:t xml:space="preserve">E-kokoelmaan valitaan erityisesti e-kirjoja sekä sähköisiä palveluita, jotka mahdollistavat suoran pääsyn tietoon, esim. erilaiset lehtiportaalit. </w:t>
      </w:r>
    </w:p>
    <w:p w:rsidR="002066B8" w:rsidRPr="00B47033" w:rsidRDefault="002066B8" w:rsidP="002066B8">
      <w:pPr>
        <w:rPr>
          <w:szCs w:val="22"/>
        </w:rPr>
      </w:pPr>
    </w:p>
    <w:p w:rsidR="00B47033" w:rsidRPr="00B47033" w:rsidRDefault="002066B8" w:rsidP="00B47033">
      <w:pPr>
        <w:ind w:left="1276"/>
        <w:rPr>
          <w:szCs w:val="22"/>
        </w:rPr>
      </w:pPr>
      <w:r w:rsidRPr="00B47033">
        <w:rPr>
          <w:szCs w:val="22"/>
        </w:rPr>
        <w:t>E-kokoelmaa kehitetään asiakkaiden tarpeita vastaavaksi sekä yleisen kirjaston profiilia ja tehtävää tukevaksi. Kokoelman sisältöön vaikuttavat e-aineistojen kirjastojakelun kansall</w:t>
      </w:r>
      <w:r w:rsidRPr="00B47033">
        <w:rPr>
          <w:szCs w:val="22"/>
        </w:rPr>
        <w:t>i</w:t>
      </w:r>
      <w:r w:rsidRPr="00B47033">
        <w:rPr>
          <w:szCs w:val="22"/>
        </w:rPr>
        <w:t>set linjaukset, verkossa vapaasti saatavilla olevat aineistot, kustantajien ja aineistonväli</w:t>
      </w:r>
      <w:r w:rsidRPr="00B47033">
        <w:rPr>
          <w:szCs w:val="22"/>
        </w:rPr>
        <w:t>t</w:t>
      </w:r>
      <w:r w:rsidRPr="00B47033">
        <w:rPr>
          <w:szCs w:val="22"/>
        </w:rPr>
        <w:t xml:space="preserve">täjien tarjonta sekä tekijänoikeudelliset kysymykset. </w:t>
      </w:r>
      <w:r w:rsidR="00B47033" w:rsidRPr="00B47033">
        <w:rPr>
          <w:szCs w:val="22"/>
        </w:rPr>
        <w:t>E-kokoelman käyttöä seurataan akti</w:t>
      </w:r>
      <w:r w:rsidR="00B47033" w:rsidRPr="00B47033">
        <w:rPr>
          <w:szCs w:val="22"/>
        </w:rPr>
        <w:t>i</w:t>
      </w:r>
      <w:r w:rsidR="00B47033" w:rsidRPr="00B47033">
        <w:rPr>
          <w:szCs w:val="22"/>
        </w:rPr>
        <w:t xml:space="preserve">visesti mm. tilastojen avulla puolivuosittain. </w:t>
      </w:r>
    </w:p>
    <w:p w:rsidR="00C833AA" w:rsidRPr="00C833AA" w:rsidRDefault="00C833AA" w:rsidP="00C833AA">
      <w:pPr>
        <w:rPr>
          <w:szCs w:val="22"/>
        </w:rPr>
      </w:pPr>
    </w:p>
    <w:p w:rsidR="00C437F3" w:rsidRDefault="002066B8" w:rsidP="00425B20">
      <w:pPr>
        <w:ind w:left="1276" w:firstLine="28"/>
        <w:rPr>
          <w:szCs w:val="22"/>
        </w:rPr>
      </w:pPr>
      <w:r w:rsidRPr="00C833AA">
        <w:rPr>
          <w:szCs w:val="22"/>
        </w:rPr>
        <w:t>Vaski-kirjastoissa seurataan valtakun</w:t>
      </w:r>
      <w:r w:rsidR="00C833AA" w:rsidRPr="00C833AA">
        <w:rPr>
          <w:szCs w:val="22"/>
        </w:rPr>
        <w:t>nallisen yleisten kirjastojen e-</w:t>
      </w:r>
      <w:r w:rsidRPr="00C833AA">
        <w:rPr>
          <w:szCs w:val="22"/>
        </w:rPr>
        <w:t>aineistolinjauksen muodostumista ja ollaan mukana yleisten kirjastojen konsortion muodostamisessa kansa</w:t>
      </w:r>
      <w:r w:rsidRPr="00C833AA">
        <w:rPr>
          <w:szCs w:val="22"/>
        </w:rPr>
        <w:t>l</w:t>
      </w:r>
      <w:r w:rsidRPr="00C833AA">
        <w:rPr>
          <w:szCs w:val="22"/>
        </w:rPr>
        <w:t>lisen e-aineistojen hank</w:t>
      </w:r>
      <w:r w:rsidR="00C833AA" w:rsidRPr="00C833AA">
        <w:rPr>
          <w:szCs w:val="22"/>
        </w:rPr>
        <w:t xml:space="preserve">innan yhteistyön kehittämiseksi </w:t>
      </w:r>
      <w:r w:rsidRPr="00C833AA">
        <w:rPr>
          <w:szCs w:val="22"/>
        </w:rPr>
        <w:t>(SSYK-hanke). Lisäksi seurataan eReading -hankkeen tuloksia ja vaikutuksia kotimaisen e-kirjallisuuden jakelukäytänte</w:t>
      </w:r>
      <w:r w:rsidRPr="00C833AA">
        <w:rPr>
          <w:szCs w:val="22"/>
        </w:rPr>
        <w:t>i</w:t>
      </w:r>
      <w:r w:rsidRPr="00C833AA">
        <w:rPr>
          <w:szCs w:val="22"/>
        </w:rPr>
        <w:t xml:space="preserve">siin. </w:t>
      </w:r>
    </w:p>
    <w:p w:rsidR="00C437F3" w:rsidRDefault="00C437F3" w:rsidP="00425B20">
      <w:pPr>
        <w:ind w:left="1276" w:firstLine="28"/>
        <w:rPr>
          <w:szCs w:val="22"/>
        </w:rPr>
      </w:pPr>
    </w:p>
    <w:p w:rsidR="00ED1B14" w:rsidRDefault="002066B8" w:rsidP="00425B20">
      <w:pPr>
        <w:ind w:left="1276" w:firstLine="28"/>
        <w:rPr>
          <w:szCs w:val="22"/>
        </w:rPr>
      </w:pPr>
      <w:r w:rsidRPr="00C833AA">
        <w:rPr>
          <w:szCs w:val="22"/>
        </w:rPr>
        <w:t>Aineisto hankitaan mahdollisuuksien mukaan yhteishankintoina muiden kirjastojen kan</w:t>
      </w:r>
      <w:r w:rsidRPr="00C833AA">
        <w:rPr>
          <w:szCs w:val="22"/>
        </w:rPr>
        <w:t>s</w:t>
      </w:r>
      <w:r w:rsidRPr="00C833AA">
        <w:rPr>
          <w:szCs w:val="22"/>
        </w:rPr>
        <w:t xml:space="preserve">sa (vrt. FinELib, </w:t>
      </w:r>
      <w:r w:rsidR="00432AF3">
        <w:rPr>
          <w:szCs w:val="22"/>
        </w:rPr>
        <w:t xml:space="preserve">valmisteilla oleva </w:t>
      </w:r>
      <w:r w:rsidRPr="00C833AA">
        <w:rPr>
          <w:szCs w:val="22"/>
        </w:rPr>
        <w:t xml:space="preserve">yleisten kirjastojen konsortio), ei erillishankintoina eri toimittajilta (työllistävyys, käytön ja sopimusten seurantaan liittyvät haasteet). </w:t>
      </w:r>
    </w:p>
    <w:p w:rsidR="00502B4A" w:rsidRDefault="00502B4A" w:rsidP="00425B20">
      <w:pPr>
        <w:ind w:left="1276" w:firstLine="28"/>
        <w:rPr>
          <w:szCs w:val="22"/>
        </w:rPr>
      </w:pPr>
    </w:p>
    <w:p w:rsidR="00502B4A" w:rsidRPr="00C833AA" w:rsidRDefault="00502B4A" w:rsidP="00B770C5">
      <w:pPr>
        <w:ind w:left="1304"/>
        <w:rPr>
          <w:szCs w:val="22"/>
        </w:rPr>
      </w:pPr>
      <w:r>
        <w:rPr>
          <w:szCs w:val="22"/>
        </w:rPr>
        <w:t xml:space="preserve">Kirjastot voivat hankkia tietokantoja itsenäisesti myös </w:t>
      </w:r>
      <w:r w:rsidRPr="00C41980">
        <w:rPr>
          <w:szCs w:val="22"/>
        </w:rPr>
        <w:t>oman kunnan asiakkaiden käy</w:t>
      </w:r>
      <w:r w:rsidRPr="00C41980">
        <w:rPr>
          <w:szCs w:val="22"/>
        </w:rPr>
        <w:t>t</w:t>
      </w:r>
      <w:r w:rsidRPr="00C41980">
        <w:rPr>
          <w:szCs w:val="22"/>
        </w:rPr>
        <w:t>töön.</w:t>
      </w:r>
    </w:p>
    <w:p w:rsidR="00357C7A" w:rsidRPr="007E3042" w:rsidRDefault="00FB0879" w:rsidP="00ED1B14">
      <w:pPr>
        <w:pStyle w:val="Otsikko5"/>
        <w:spacing w:before="0"/>
        <w:ind w:left="1304"/>
        <w:rPr>
          <w:sz w:val="32"/>
          <w:szCs w:val="32"/>
        </w:rPr>
      </w:pPr>
      <w:r>
        <w:br/>
      </w:r>
      <w:r w:rsidR="002066B8" w:rsidRPr="002066B8">
        <w:rPr>
          <w:sz w:val="32"/>
          <w:szCs w:val="32"/>
        </w:rPr>
        <w:t>Toimintamalli ja vastuut e-kokoelman kehittämiseen, hoitoon ja käytönopastukseen</w:t>
      </w:r>
    </w:p>
    <w:p w:rsidR="00357C7A" w:rsidRDefault="00357C7A" w:rsidP="00BF4B18"/>
    <w:p w:rsidR="002066B8" w:rsidRPr="00425B20" w:rsidRDefault="002066B8" w:rsidP="00425B20">
      <w:pPr>
        <w:ind w:left="1304"/>
        <w:rPr>
          <w:szCs w:val="22"/>
        </w:rPr>
      </w:pPr>
      <w:r w:rsidRPr="00C833AA">
        <w:rPr>
          <w:szCs w:val="22"/>
        </w:rPr>
        <w:t>Vaski-kirjastojen johtoryhmä päättää e-kokoelman kustannustenjakoperiaatteista, määr</w:t>
      </w:r>
      <w:r w:rsidRPr="00C833AA">
        <w:rPr>
          <w:szCs w:val="22"/>
        </w:rPr>
        <w:t>ä</w:t>
      </w:r>
      <w:r w:rsidR="00432AF3">
        <w:rPr>
          <w:szCs w:val="22"/>
        </w:rPr>
        <w:t xml:space="preserve">rahoista sekä </w:t>
      </w:r>
      <w:r w:rsidRPr="00C833AA">
        <w:rPr>
          <w:szCs w:val="22"/>
        </w:rPr>
        <w:t>e-kokoelma</w:t>
      </w:r>
      <w:r w:rsidR="0027510E">
        <w:rPr>
          <w:szCs w:val="22"/>
        </w:rPr>
        <w:t>n linjauksista</w:t>
      </w:r>
      <w:r w:rsidRPr="00C833AA">
        <w:rPr>
          <w:szCs w:val="22"/>
        </w:rPr>
        <w:t>. Vaski-kirjastojen kokoelmatehtäviä hoitavat toim</w:t>
      </w:r>
      <w:r w:rsidRPr="00C833AA">
        <w:rPr>
          <w:szCs w:val="22"/>
        </w:rPr>
        <w:t>i</w:t>
      </w:r>
      <w:r w:rsidRPr="00C833AA">
        <w:rPr>
          <w:szCs w:val="22"/>
        </w:rPr>
        <w:t xml:space="preserve">jat huolehtivat e-kokoelman kehittämisestä ja kokoelmatehtävien vetäjä esittelee Vaski-johtoryhmälle e-aineistolinjaukset. </w:t>
      </w:r>
    </w:p>
    <w:p w:rsidR="002066B8" w:rsidRDefault="002066B8" w:rsidP="002066B8">
      <w:pPr>
        <w:rPr>
          <w:b/>
        </w:rPr>
      </w:pPr>
    </w:p>
    <w:p w:rsidR="002066B8" w:rsidRPr="00623615" w:rsidRDefault="002066B8" w:rsidP="00C833AA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623615">
        <w:rPr>
          <w:rFonts w:asciiTheme="majorHAnsi" w:hAnsiTheme="majorHAnsi"/>
          <w:color w:val="244061" w:themeColor="accent1" w:themeShade="80"/>
          <w:sz w:val="32"/>
          <w:szCs w:val="32"/>
        </w:rPr>
        <w:t>E-kirjat</w:t>
      </w:r>
    </w:p>
    <w:p w:rsidR="002066B8" w:rsidRPr="004E2889" w:rsidRDefault="002066B8" w:rsidP="002066B8">
      <w:pPr>
        <w:rPr>
          <w:sz w:val="24"/>
          <w:szCs w:val="24"/>
        </w:rPr>
      </w:pPr>
    </w:p>
    <w:p w:rsidR="00C41980" w:rsidRPr="00C833AA" w:rsidRDefault="00C41980" w:rsidP="00C41980">
      <w:pPr>
        <w:ind w:left="1304"/>
        <w:rPr>
          <w:szCs w:val="22"/>
        </w:rPr>
      </w:pPr>
      <w:r w:rsidRPr="00C833AA">
        <w:rPr>
          <w:szCs w:val="22"/>
        </w:rPr>
        <w:t>E-kirjat hankitaan</w:t>
      </w:r>
      <w:r w:rsidR="000F1D84">
        <w:rPr>
          <w:szCs w:val="22"/>
        </w:rPr>
        <w:t xml:space="preserve"> v. 2013</w:t>
      </w:r>
      <w:r w:rsidRPr="00C833AA">
        <w:rPr>
          <w:szCs w:val="22"/>
        </w:rPr>
        <w:t xml:space="preserve"> Ellibsin ja OverDriven kautta, ja niiden valikoimat täydentävät toisiaan.</w:t>
      </w:r>
      <w:r w:rsidR="00AC0EB3">
        <w:rPr>
          <w:szCs w:val="22"/>
        </w:rPr>
        <w:t xml:space="preserve"> Kokoelman sisältöön vaikuttaa tarjolla oleva aineisto.</w:t>
      </w:r>
      <w:r w:rsidRPr="00C833AA">
        <w:rPr>
          <w:szCs w:val="22"/>
        </w:rPr>
        <w:t xml:space="preserve"> Ellibsiltä ostetaan lähinnä kotimaista eri alojen tietokirjallisuutta, erityisesti kurssikirjoja, sekä kauno- ja lastenkirjall</w:t>
      </w:r>
      <w:r w:rsidRPr="00C833AA">
        <w:rPr>
          <w:szCs w:val="22"/>
        </w:rPr>
        <w:t>i</w:t>
      </w:r>
      <w:r w:rsidRPr="00C833AA">
        <w:rPr>
          <w:szCs w:val="22"/>
        </w:rPr>
        <w:t>suut</w:t>
      </w:r>
      <w:r w:rsidR="00AC0EB3">
        <w:rPr>
          <w:szCs w:val="22"/>
        </w:rPr>
        <w:t>ta</w:t>
      </w:r>
      <w:r w:rsidRPr="00C833AA">
        <w:rPr>
          <w:szCs w:val="22"/>
        </w:rPr>
        <w:t>. OverDriven kautta hankitaan englanninkielistä kauno- ja tietokirjallisuutta, suosi</w:t>
      </w:r>
      <w:r w:rsidRPr="00C833AA">
        <w:rPr>
          <w:szCs w:val="22"/>
        </w:rPr>
        <w:t>t</w:t>
      </w:r>
      <w:r w:rsidRPr="00C833AA">
        <w:rPr>
          <w:szCs w:val="22"/>
        </w:rPr>
        <w:t>tua nuorten aineistoa, lastenaineistoa sekä äänikirjoja. Ruotsinkielistä aineistoa hankitaan tarjonnan mukaan.</w:t>
      </w:r>
    </w:p>
    <w:p w:rsidR="002066B8" w:rsidRDefault="002066B8" w:rsidP="002066B8">
      <w:pPr>
        <w:rPr>
          <w:szCs w:val="22"/>
        </w:rPr>
      </w:pPr>
    </w:p>
    <w:p w:rsidR="00B770C5" w:rsidRDefault="00B770C5" w:rsidP="002066B8">
      <w:pPr>
        <w:rPr>
          <w:szCs w:val="22"/>
        </w:rPr>
      </w:pPr>
    </w:p>
    <w:p w:rsidR="00B770C5" w:rsidRPr="00623615" w:rsidRDefault="00B770C5" w:rsidP="002066B8">
      <w:pPr>
        <w:rPr>
          <w:szCs w:val="22"/>
        </w:rPr>
      </w:pPr>
    </w:p>
    <w:p w:rsidR="002066B8" w:rsidRPr="00623615" w:rsidRDefault="002066B8" w:rsidP="00C41980">
      <w:pPr>
        <w:ind w:firstLine="1304"/>
        <w:rPr>
          <w:szCs w:val="22"/>
        </w:rPr>
      </w:pPr>
      <w:r w:rsidRPr="00623615">
        <w:rPr>
          <w:szCs w:val="22"/>
        </w:rPr>
        <w:lastRenderedPageBreak/>
        <w:t>E-k</w:t>
      </w:r>
      <w:r w:rsidR="00AC0EB3">
        <w:rPr>
          <w:szCs w:val="22"/>
        </w:rPr>
        <w:t xml:space="preserve">irjakokoelman painopistealueita </w:t>
      </w:r>
      <w:r w:rsidRPr="00623615">
        <w:rPr>
          <w:szCs w:val="22"/>
        </w:rPr>
        <w:t>ovat</w:t>
      </w:r>
      <w:r w:rsidR="00623615" w:rsidRPr="00623615">
        <w:rPr>
          <w:szCs w:val="22"/>
        </w:rPr>
        <w:t>:</w:t>
      </w:r>
    </w:p>
    <w:p w:rsidR="002066B8" w:rsidRPr="00623615" w:rsidRDefault="002066B8" w:rsidP="002066B8">
      <w:pPr>
        <w:rPr>
          <w:szCs w:val="22"/>
        </w:rPr>
      </w:pPr>
    </w:p>
    <w:p w:rsidR="00C41980" w:rsidRPr="00623615" w:rsidRDefault="00C41980" w:rsidP="00C41980">
      <w:pPr>
        <w:pStyle w:val="Luettelokappale"/>
        <w:numPr>
          <w:ilvl w:val="0"/>
          <w:numId w:val="16"/>
        </w:numPr>
        <w:ind w:left="1664"/>
      </w:pPr>
      <w:r w:rsidRPr="00623615">
        <w:t>kotimainen kaunokirjallisuus tarjonnan mukaan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vieraskielinen, pääasiassa englanninkielinen aikuisten ja nuorten kaunokirjallisuus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äänikirjat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 xml:space="preserve">nopeasti tietosisällöltään uusiutuvien aihealojen kirjallisuus 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harrastekirjallisuus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matkaoppaat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kurssikirjallisuus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kielikurssit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lasten oppimista edistävä aineisto</w:t>
      </w:r>
      <w:r w:rsidR="003A2F7C">
        <w:t xml:space="preserve"> ja muu lastenaineisto</w:t>
      </w:r>
    </w:p>
    <w:p w:rsidR="002066B8" w:rsidRPr="00C41980" w:rsidRDefault="002066B8" w:rsidP="00C41980">
      <w:pPr>
        <w:ind w:left="944"/>
        <w:rPr>
          <w:color w:val="4F81BD" w:themeColor="accent1"/>
          <w:szCs w:val="22"/>
        </w:rPr>
      </w:pPr>
    </w:p>
    <w:p w:rsidR="002066B8" w:rsidRPr="00C41980" w:rsidRDefault="002066B8" w:rsidP="00C41980">
      <w:pPr>
        <w:ind w:left="944" w:firstLine="360"/>
        <w:rPr>
          <w:szCs w:val="22"/>
        </w:rPr>
      </w:pPr>
      <w:r w:rsidRPr="00C41980">
        <w:rPr>
          <w:szCs w:val="22"/>
        </w:rPr>
        <w:t>E-kirjojen laina-ajat ja uusiminen:</w:t>
      </w:r>
    </w:p>
    <w:p w:rsidR="00C41980" w:rsidRPr="00C41980" w:rsidRDefault="00C41980" w:rsidP="00C41980">
      <w:pPr>
        <w:rPr>
          <w:szCs w:val="22"/>
        </w:rPr>
      </w:pPr>
    </w:p>
    <w:p w:rsidR="002066B8" w:rsidRPr="00C41980" w:rsidRDefault="002066B8" w:rsidP="00C41980">
      <w:pPr>
        <w:pStyle w:val="Luettelokappale"/>
        <w:numPr>
          <w:ilvl w:val="0"/>
          <w:numId w:val="18"/>
        </w:numPr>
        <w:ind w:left="1664"/>
      </w:pPr>
      <w:r w:rsidRPr="00C41980">
        <w:t>Ellibs e-kirjojen laina-aika joko yksi tai seitsemän päivää</w:t>
      </w:r>
    </w:p>
    <w:p w:rsidR="002066B8" w:rsidRPr="00C41980" w:rsidRDefault="002066B8" w:rsidP="00C41980">
      <w:pPr>
        <w:pStyle w:val="Luettelokappale"/>
        <w:numPr>
          <w:ilvl w:val="0"/>
          <w:numId w:val="16"/>
        </w:numPr>
        <w:ind w:left="1664"/>
        <w:rPr>
          <w:b/>
          <w:color w:val="4F81BD" w:themeColor="accent1"/>
          <w:u w:val="single"/>
        </w:rPr>
      </w:pPr>
      <w:r w:rsidRPr="00C41980">
        <w:t>Overdriven kautta tarjot</w:t>
      </w:r>
      <w:r w:rsidR="008C00D3">
        <w:t>tavien e-kirjojen laina-ajat ovat joko seitsemän, 14 tai 21 pä</w:t>
      </w:r>
      <w:r w:rsidR="008C00D3">
        <w:t>i</w:t>
      </w:r>
      <w:r w:rsidR="008C00D3">
        <w:t>vää. Laina-ajat tarkentuvat palvelun käyttöönoton edetessä.</w:t>
      </w:r>
    </w:p>
    <w:p w:rsidR="002066B8" w:rsidRPr="00C41980" w:rsidRDefault="002066B8" w:rsidP="00C41980">
      <w:pPr>
        <w:pStyle w:val="Luettelokappale"/>
        <w:ind w:left="1664"/>
        <w:rPr>
          <w:color w:val="4F81BD" w:themeColor="accent1"/>
        </w:rPr>
      </w:pPr>
    </w:p>
    <w:p w:rsidR="002066B8" w:rsidRPr="00C41980" w:rsidRDefault="002066B8" w:rsidP="00C41980">
      <w:pPr>
        <w:ind w:left="944" w:firstLine="360"/>
        <w:rPr>
          <w:szCs w:val="22"/>
        </w:rPr>
      </w:pPr>
      <w:r w:rsidRPr="00C41980">
        <w:rPr>
          <w:szCs w:val="22"/>
        </w:rPr>
        <w:t>E-kirjojen varaaminen</w:t>
      </w:r>
    </w:p>
    <w:p w:rsidR="00C41980" w:rsidRPr="00C41980" w:rsidRDefault="00C41980" w:rsidP="00C41980">
      <w:pPr>
        <w:ind w:left="944"/>
        <w:rPr>
          <w:szCs w:val="22"/>
        </w:rPr>
      </w:pPr>
    </w:p>
    <w:p w:rsidR="002066B8" w:rsidRPr="00C41980" w:rsidRDefault="002066B8" w:rsidP="00C41980">
      <w:pPr>
        <w:pStyle w:val="Luettelokappale"/>
        <w:numPr>
          <w:ilvl w:val="0"/>
          <w:numId w:val="17"/>
        </w:numPr>
        <w:ind w:left="1664"/>
      </w:pPr>
      <w:r w:rsidRPr="00C41980">
        <w:t>Ellibs e-kirjoissa ei ole varausmahdollisuutta</w:t>
      </w:r>
    </w:p>
    <w:p w:rsidR="002066B8" w:rsidRPr="006E168C" w:rsidRDefault="002066B8" w:rsidP="002066B8">
      <w:pPr>
        <w:pStyle w:val="Luettelokappale"/>
        <w:numPr>
          <w:ilvl w:val="0"/>
          <w:numId w:val="17"/>
        </w:numPr>
        <w:ind w:left="1664"/>
      </w:pPr>
      <w:r w:rsidRPr="00C41980">
        <w:t>Overdriven e-kirjat ovat varattavissa ilman varausmaksua</w:t>
      </w:r>
    </w:p>
    <w:p w:rsidR="00C41980" w:rsidRPr="004E2889" w:rsidRDefault="00C41980" w:rsidP="002066B8">
      <w:pPr>
        <w:rPr>
          <w:color w:val="4F81BD" w:themeColor="accent1"/>
          <w:sz w:val="24"/>
          <w:szCs w:val="24"/>
        </w:rPr>
      </w:pPr>
    </w:p>
    <w:p w:rsidR="002066B8" w:rsidRPr="00C41980" w:rsidRDefault="000F1D84" w:rsidP="00C41980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>
        <w:rPr>
          <w:rFonts w:asciiTheme="majorHAnsi" w:hAnsiTheme="majorHAnsi"/>
          <w:color w:val="244061" w:themeColor="accent1" w:themeShade="80"/>
          <w:sz w:val="32"/>
          <w:szCs w:val="32"/>
        </w:rPr>
        <w:t>T</w:t>
      </w:r>
      <w:r w:rsidR="002066B8"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ietokannat</w:t>
      </w:r>
    </w:p>
    <w:p w:rsidR="002066B8" w:rsidRPr="00C41980" w:rsidRDefault="002066B8" w:rsidP="002066B8">
      <w:pPr>
        <w:rPr>
          <w:szCs w:val="22"/>
        </w:rPr>
      </w:pPr>
    </w:p>
    <w:p w:rsidR="00C41980" w:rsidRPr="00C833AA" w:rsidRDefault="002066B8" w:rsidP="00C41980">
      <w:pPr>
        <w:ind w:left="1276"/>
        <w:rPr>
          <w:szCs w:val="22"/>
        </w:rPr>
      </w:pPr>
      <w:r w:rsidRPr="00C41980">
        <w:rPr>
          <w:szCs w:val="22"/>
        </w:rPr>
        <w:t>Ensisijaisesti kokoelmaan hankitaan etäkäyttöisiä tietokantoja yhteiskäyttöön kaikille Va</w:t>
      </w:r>
      <w:r w:rsidRPr="00C41980">
        <w:rPr>
          <w:szCs w:val="22"/>
        </w:rPr>
        <w:t>s</w:t>
      </w:r>
      <w:r w:rsidRPr="00C41980">
        <w:rPr>
          <w:szCs w:val="22"/>
        </w:rPr>
        <w:t>ki-kirjas</w:t>
      </w:r>
      <w:r w:rsidR="00C41980">
        <w:rPr>
          <w:szCs w:val="22"/>
        </w:rPr>
        <w:t xml:space="preserve">toille. </w:t>
      </w:r>
      <w:r w:rsidR="00C41980" w:rsidRPr="00C833AA">
        <w:rPr>
          <w:szCs w:val="22"/>
        </w:rPr>
        <w:t>Viitetietokant</w:t>
      </w:r>
      <w:r w:rsidR="00502B4A">
        <w:rPr>
          <w:szCs w:val="22"/>
        </w:rPr>
        <w:t>oja otetaan kokoelmaan harkiten, niiden pääpaino on kotima</w:t>
      </w:r>
      <w:r w:rsidR="00502B4A">
        <w:rPr>
          <w:szCs w:val="22"/>
        </w:rPr>
        <w:t>i</w:t>
      </w:r>
      <w:r w:rsidR="00502B4A">
        <w:rPr>
          <w:szCs w:val="22"/>
        </w:rPr>
        <w:t>sessa aineistossa.</w:t>
      </w:r>
    </w:p>
    <w:p w:rsidR="00C41980" w:rsidRPr="004E2889" w:rsidRDefault="00C41980" w:rsidP="002066B8">
      <w:pPr>
        <w:rPr>
          <w:sz w:val="24"/>
          <w:szCs w:val="24"/>
        </w:rPr>
      </w:pPr>
    </w:p>
    <w:p w:rsidR="002066B8" w:rsidRPr="00C41980" w:rsidRDefault="002066B8" w:rsidP="00C41980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E-lehdet</w:t>
      </w:r>
    </w:p>
    <w:p w:rsidR="002066B8" w:rsidRPr="00C41980" w:rsidRDefault="002066B8" w:rsidP="002066B8">
      <w:pPr>
        <w:rPr>
          <w:szCs w:val="22"/>
        </w:rPr>
      </w:pPr>
    </w:p>
    <w:p w:rsidR="002066B8" w:rsidRPr="00C41980" w:rsidRDefault="002066B8" w:rsidP="00C41980">
      <w:pPr>
        <w:pStyle w:val="NormaaliWWW"/>
        <w:shd w:val="clear" w:color="auto" w:fill="FFFFFF"/>
        <w:spacing w:before="0" w:beforeAutospacing="0" w:line="255" w:lineRule="atLeast"/>
        <w:ind w:left="1304"/>
        <w:rPr>
          <w:rFonts w:ascii="Arial" w:hAnsi="Arial" w:cs="Arial"/>
          <w:sz w:val="22"/>
          <w:szCs w:val="22"/>
        </w:rPr>
      </w:pPr>
      <w:r w:rsidRPr="00C41980">
        <w:rPr>
          <w:rFonts w:ascii="Arial" w:hAnsi="Arial" w:cs="Arial"/>
          <w:sz w:val="22"/>
          <w:szCs w:val="22"/>
        </w:rPr>
        <w:t>Kaikissa Vaski-kirjastoissa on yhteiskäytössä etäkäyttöinen PressDisplay e-lehtipalvelu, joka sisältää yli 1000 kansainvälistä ja kotimaista sanomalehteä sähköisenä näköisve</w:t>
      </w:r>
      <w:r w:rsidRPr="00C41980">
        <w:rPr>
          <w:rFonts w:ascii="Arial" w:hAnsi="Arial" w:cs="Arial"/>
          <w:sz w:val="22"/>
          <w:szCs w:val="22"/>
        </w:rPr>
        <w:t>r</w:t>
      </w:r>
      <w:r w:rsidRPr="00C41980">
        <w:rPr>
          <w:rFonts w:ascii="Arial" w:hAnsi="Arial" w:cs="Arial"/>
          <w:sz w:val="22"/>
          <w:szCs w:val="22"/>
        </w:rPr>
        <w:t>siona noin 80 maasta ja lähes 40 eri kielellä. Sanomalehdet ovat käytettävissä välitt</w:t>
      </w:r>
      <w:r w:rsidRPr="00C41980">
        <w:rPr>
          <w:rFonts w:ascii="Arial" w:hAnsi="Arial" w:cs="Arial"/>
          <w:sz w:val="22"/>
          <w:szCs w:val="22"/>
        </w:rPr>
        <w:t>ö</w:t>
      </w:r>
      <w:r w:rsidRPr="00C41980">
        <w:rPr>
          <w:rFonts w:ascii="Arial" w:hAnsi="Arial" w:cs="Arial"/>
          <w:sz w:val="22"/>
          <w:szCs w:val="22"/>
        </w:rPr>
        <w:t>mästi niiden ilmestyttyä painosta ja ne säilyvät arkistossa 60 päivän ajan. E-lehdet tä</w:t>
      </w:r>
      <w:r w:rsidRPr="00C41980">
        <w:rPr>
          <w:rFonts w:ascii="Arial" w:hAnsi="Arial" w:cs="Arial"/>
          <w:sz w:val="22"/>
          <w:szCs w:val="22"/>
        </w:rPr>
        <w:t>y</w:t>
      </w:r>
      <w:r w:rsidRPr="00C41980">
        <w:rPr>
          <w:rFonts w:ascii="Arial" w:hAnsi="Arial" w:cs="Arial"/>
          <w:sz w:val="22"/>
          <w:szCs w:val="22"/>
        </w:rPr>
        <w:t>dentävät Vaski-kirjastojen lehtivalikoimaa ja vieraskielistä kokoelmaa.</w:t>
      </w:r>
    </w:p>
    <w:p w:rsidR="002066B8" w:rsidRPr="00C41980" w:rsidRDefault="002066B8" w:rsidP="00C41980">
      <w:pPr>
        <w:pStyle w:val="NormaaliWWW"/>
        <w:shd w:val="clear" w:color="auto" w:fill="FFFFFF"/>
        <w:spacing w:before="0" w:beforeAutospacing="0" w:after="0" w:line="255" w:lineRule="atLeast"/>
        <w:ind w:left="1304"/>
        <w:rPr>
          <w:rFonts w:ascii="Arial" w:hAnsi="Arial" w:cs="Arial"/>
          <w:sz w:val="22"/>
          <w:szCs w:val="22"/>
          <w:u w:val="single"/>
        </w:rPr>
      </w:pPr>
      <w:r w:rsidRPr="00C41980">
        <w:rPr>
          <w:rFonts w:ascii="Arial" w:hAnsi="Arial" w:cs="Arial"/>
          <w:sz w:val="22"/>
          <w:szCs w:val="22"/>
        </w:rPr>
        <w:t>Osassa Vaski</w:t>
      </w:r>
      <w:r w:rsidR="006E168C">
        <w:rPr>
          <w:rFonts w:ascii="Arial" w:hAnsi="Arial" w:cs="Arial"/>
          <w:sz w:val="22"/>
          <w:szCs w:val="22"/>
        </w:rPr>
        <w:t>-kirjastoja on käytössä ePress -</w:t>
      </w:r>
      <w:r w:rsidRPr="00C41980">
        <w:rPr>
          <w:rFonts w:ascii="Arial" w:hAnsi="Arial" w:cs="Arial"/>
          <w:sz w:val="22"/>
          <w:szCs w:val="22"/>
        </w:rPr>
        <w:t>palvelu, joka tarjoaa kotimaisten paikallis- ja maakuntalehtien digitaalisia näköisversioita. Lehdet ovat luettavissa heti paperiversion ilmestyttyä. Palvelu on käytössä Turussa, Kaarinassa, Laitilassa, Liedossa, Maskussa, Mynämäessä, Naantalissa, Nousiaisissa, Paimiossa, Raisiossa, Ruskossa, Taivassalo</w:t>
      </w:r>
      <w:r w:rsidRPr="00C41980">
        <w:rPr>
          <w:rFonts w:ascii="Arial" w:hAnsi="Arial" w:cs="Arial"/>
          <w:sz w:val="22"/>
          <w:szCs w:val="22"/>
        </w:rPr>
        <w:t>s</w:t>
      </w:r>
      <w:r w:rsidRPr="00C41980">
        <w:rPr>
          <w:rFonts w:ascii="Arial" w:hAnsi="Arial" w:cs="Arial"/>
          <w:sz w:val="22"/>
          <w:szCs w:val="22"/>
        </w:rPr>
        <w:t>sa ja Uu</w:t>
      </w:r>
      <w:r w:rsidR="006E168C">
        <w:rPr>
          <w:rFonts w:ascii="Arial" w:hAnsi="Arial" w:cs="Arial"/>
          <w:sz w:val="22"/>
          <w:szCs w:val="22"/>
        </w:rPr>
        <w:t>dessakaupungissa. ePress -</w:t>
      </w:r>
      <w:r w:rsidRPr="00C41980">
        <w:rPr>
          <w:rFonts w:ascii="Arial" w:hAnsi="Arial" w:cs="Arial"/>
          <w:sz w:val="22"/>
          <w:szCs w:val="22"/>
        </w:rPr>
        <w:t>palvelu ei tarjoa kattavasti maakunta-alueen paika</w:t>
      </w:r>
      <w:r w:rsidRPr="00C41980">
        <w:rPr>
          <w:rFonts w:ascii="Arial" w:hAnsi="Arial" w:cs="Arial"/>
          <w:sz w:val="22"/>
          <w:szCs w:val="22"/>
        </w:rPr>
        <w:t>l</w:t>
      </w:r>
      <w:r w:rsidRPr="00C41980">
        <w:rPr>
          <w:rFonts w:ascii="Arial" w:hAnsi="Arial" w:cs="Arial"/>
          <w:sz w:val="22"/>
          <w:szCs w:val="22"/>
        </w:rPr>
        <w:t xml:space="preserve">lislehtiä. </w:t>
      </w:r>
    </w:p>
    <w:p w:rsidR="00C41980" w:rsidRPr="00C41980" w:rsidRDefault="00C41980" w:rsidP="002066B8">
      <w:pPr>
        <w:pStyle w:val="NormaaliWWW"/>
        <w:shd w:val="clear" w:color="auto" w:fill="FFFFFF"/>
        <w:spacing w:before="0" w:beforeAutospacing="0" w:after="0" w:line="255" w:lineRule="atLeast"/>
        <w:rPr>
          <w:rFonts w:ascii="Arial" w:hAnsi="Arial" w:cs="Arial"/>
          <w:color w:val="4F81BD" w:themeColor="accent1"/>
          <w:sz w:val="22"/>
          <w:szCs w:val="22"/>
        </w:rPr>
      </w:pPr>
    </w:p>
    <w:p w:rsidR="002066B8" w:rsidRPr="00C41980" w:rsidRDefault="002066B8" w:rsidP="00C41980">
      <w:pPr>
        <w:ind w:left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Verkossa vapaasti saatavilla oleva tieto ja itse tuotetut e-aineistot</w:t>
      </w:r>
    </w:p>
    <w:p w:rsidR="002066B8" w:rsidRPr="00C41980" w:rsidRDefault="002066B8" w:rsidP="00C41980">
      <w:pPr>
        <w:ind w:left="1304"/>
        <w:rPr>
          <w:szCs w:val="22"/>
        </w:rPr>
      </w:pPr>
    </w:p>
    <w:p w:rsidR="002066B8" w:rsidRPr="00C41980" w:rsidRDefault="002066B8" w:rsidP="00C41980">
      <w:pPr>
        <w:ind w:left="1304"/>
        <w:rPr>
          <w:color w:val="4F81BD" w:themeColor="accent1"/>
          <w:szCs w:val="22"/>
        </w:rPr>
      </w:pPr>
      <w:r w:rsidRPr="00C41980">
        <w:rPr>
          <w:szCs w:val="22"/>
        </w:rPr>
        <w:t>Vapaasti saatavilla olevan e-aineiston linkittämistä verkkokirjastoon kehitetään ja siinä hyödynnetään</w:t>
      </w:r>
      <w:r w:rsidR="00EA14DD">
        <w:rPr>
          <w:szCs w:val="22"/>
        </w:rPr>
        <w:t xml:space="preserve"> kansallisia ratkaisuja (esim. M</w:t>
      </w:r>
      <w:r w:rsidRPr="00C41980">
        <w:rPr>
          <w:szCs w:val="22"/>
        </w:rPr>
        <w:t>akupalat). Mahdollisia linkityksiä seurataan aktiivisesti, vanhentuneita linkityksiä ei verkkokirjastossa sallita.</w:t>
      </w:r>
    </w:p>
    <w:p w:rsidR="002066B8" w:rsidRPr="00C41980" w:rsidRDefault="002066B8" w:rsidP="00C41980">
      <w:pPr>
        <w:ind w:left="1304"/>
        <w:rPr>
          <w:color w:val="4F81BD" w:themeColor="accent1"/>
          <w:szCs w:val="22"/>
        </w:rPr>
      </w:pPr>
    </w:p>
    <w:p w:rsidR="002066B8" w:rsidRPr="00C41980" w:rsidRDefault="002066B8" w:rsidP="00C41980">
      <w:pPr>
        <w:ind w:left="1304"/>
        <w:rPr>
          <w:szCs w:val="22"/>
        </w:rPr>
      </w:pPr>
      <w:r w:rsidRPr="00C41980">
        <w:rPr>
          <w:szCs w:val="22"/>
        </w:rPr>
        <w:t>Vaski-kirjastot tutkivat mahdollisuutta tuottaa omia e-aineistoja verkkokirjastoon. Näitä voivat olla digitoidut maakuntakokoelman aineistot, kir</w:t>
      </w:r>
      <w:r w:rsidR="00F25E69">
        <w:rPr>
          <w:szCs w:val="22"/>
        </w:rPr>
        <w:t>jastojen tuottamat dokumentit sekä</w:t>
      </w:r>
      <w:r w:rsidRPr="00C41980">
        <w:rPr>
          <w:szCs w:val="22"/>
        </w:rPr>
        <w:t xml:space="preserve"> </w:t>
      </w:r>
      <w:r w:rsidRPr="00C41980">
        <w:rPr>
          <w:szCs w:val="22"/>
        </w:rPr>
        <w:lastRenderedPageBreak/>
        <w:t xml:space="preserve">valikoima ja lukuvinkkiluettelot </w:t>
      </w:r>
      <w:r w:rsidR="00F25E69">
        <w:rPr>
          <w:szCs w:val="22"/>
        </w:rPr>
        <w:t>sähköisessä muodossa</w:t>
      </w:r>
      <w:r w:rsidRPr="00C41980">
        <w:rPr>
          <w:szCs w:val="22"/>
        </w:rPr>
        <w:t>. Vaskin kirjastojärjestelmää ja verkkokirjastoa pyritään kehittämään mahdollisuuksien mukaan siten, että e-aineistot ovat normaali osa verkkokirjastokokoelmaa eivätkä vaadi erillistä sivustoa tai linkkiä.</w:t>
      </w:r>
    </w:p>
    <w:p w:rsidR="002066B8" w:rsidRPr="00C41980" w:rsidRDefault="002066B8" w:rsidP="00C41980">
      <w:pPr>
        <w:ind w:left="1304"/>
        <w:rPr>
          <w:szCs w:val="22"/>
        </w:rPr>
      </w:pPr>
    </w:p>
    <w:p w:rsidR="002066B8" w:rsidRPr="00C41980" w:rsidRDefault="002066B8" w:rsidP="00C41980">
      <w:pPr>
        <w:ind w:left="1304"/>
        <w:rPr>
          <w:szCs w:val="22"/>
        </w:rPr>
      </w:pPr>
      <w:r w:rsidRPr="00C41980">
        <w:rPr>
          <w:szCs w:val="22"/>
        </w:rPr>
        <w:t xml:space="preserve">Vaski-kirjastoille laaditaan maakunnallisen aineiston digitointisuunnitelma, jonka avulla maakuntakokoelman ja kotiseutukokoelmien paikallisaineistoa saadaan laaja-alaisesti asiakkaiden käyttöön. Digitointisuunnitelmassa huomioidaan kansallisesti ja vapaasti verkossa </w:t>
      </w:r>
      <w:r w:rsidR="00EA14DD">
        <w:rPr>
          <w:szCs w:val="22"/>
        </w:rPr>
        <w:t>saatavilla oleva aineisto</w:t>
      </w:r>
      <w:r w:rsidRPr="00C41980">
        <w:rPr>
          <w:szCs w:val="22"/>
        </w:rPr>
        <w:t>.</w:t>
      </w:r>
    </w:p>
    <w:p w:rsidR="002066B8" w:rsidRDefault="002066B8" w:rsidP="00087F31">
      <w:pPr>
        <w:rPr>
          <w:szCs w:val="22"/>
        </w:rPr>
      </w:pPr>
    </w:p>
    <w:p w:rsidR="00533600" w:rsidRPr="003E66C6" w:rsidRDefault="00871524" w:rsidP="00087F31">
      <w:pPr>
        <w:rPr>
          <w:rFonts w:asciiTheme="majorHAnsi" w:hAnsiTheme="majorHAnsi"/>
          <w:color w:val="244061" w:themeColor="accent1" w:themeShade="80"/>
          <w:sz w:val="32"/>
          <w:szCs w:val="32"/>
        </w:rPr>
      </w:pPr>
      <w:r>
        <w:rPr>
          <w:szCs w:val="22"/>
        </w:rPr>
        <w:tab/>
      </w:r>
      <w:r w:rsidRPr="00871524">
        <w:rPr>
          <w:rFonts w:asciiTheme="majorHAnsi" w:hAnsiTheme="majorHAnsi"/>
          <w:color w:val="244061" w:themeColor="accent1" w:themeShade="80"/>
          <w:sz w:val="32"/>
          <w:szCs w:val="32"/>
        </w:rPr>
        <w:t>E-aineistohankinnan määrärahat</w:t>
      </w:r>
      <w:r w:rsidR="00F25E69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v. 2013-2014</w:t>
      </w:r>
    </w:p>
    <w:p w:rsidR="00533600" w:rsidRPr="00533600" w:rsidRDefault="00533600" w:rsidP="00533600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781"/>
        <w:gridCol w:w="1901"/>
        <w:gridCol w:w="1460"/>
      </w:tblGrid>
      <w:tr w:rsidR="00533600" w:rsidRPr="00533600" w:rsidTr="00533600">
        <w:trPr>
          <w:trHeight w:val="285"/>
          <w:jc w:val="center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Voimassa olevat FinELib -sopimukset, etäkäyttöiset aineistot v. 2013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sopimus päättyy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 xml:space="preserve">käyttö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Vaskin hinta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Aleksi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30 885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Ebsco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3 869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Ellibs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Kansallisbiografia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3 382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PressDisplay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7 499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49 635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Turun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25 860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Muiden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23 775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OverDrive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67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alustamaksu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10 793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6"/>
                <w:szCs w:val="16"/>
              </w:rPr>
            </w:pPr>
            <w:r w:rsidRPr="00533600">
              <w:rPr>
                <w:color w:val="000000"/>
                <w:sz w:val="16"/>
                <w:szCs w:val="16"/>
              </w:rPr>
              <w:t>maksetaan v. 2013 Asiakkaan kirjasto -projektin rahoilla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aineistomaksu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7 709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18 502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533600" w:rsidRDefault="00533600" w:rsidP="00533600">
      <w:pPr>
        <w:ind w:left="1304" w:firstLine="1"/>
        <w:rPr>
          <w:color w:val="000000"/>
          <w:sz w:val="20"/>
        </w:rPr>
      </w:pPr>
    </w:p>
    <w:p w:rsidR="00533600" w:rsidRDefault="00533600" w:rsidP="00533600">
      <w:pPr>
        <w:ind w:left="1304" w:firstLine="1"/>
        <w:rPr>
          <w:color w:val="000000"/>
          <w:sz w:val="20"/>
        </w:rPr>
      </w:pPr>
    </w:p>
    <w:tbl>
      <w:tblPr>
        <w:tblW w:w="7103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17"/>
      </w:tblGrid>
      <w:tr w:rsidR="00533600" w:rsidRPr="00533600" w:rsidTr="00F557FA">
        <w:trPr>
          <w:trHeight w:val="28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F557FA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FinELib-aineistot ja OverDriven aineistomaksu yhteensä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F557FA">
            <w:pPr>
              <w:widowControl/>
              <w:rPr>
                <w:b/>
                <w:bCs/>
                <w:color w:val="000000"/>
                <w:sz w:val="20"/>
              </w:rPr>
            </w:pPr>
            <w:bookmarkStart w:id="1" w:name="_Hlk346095253"/>
            <w:r w:rsidRPr="00533600">
              <w:rPr>
                <w:b/>
                <w:bCs/>
                <w:color w:val="000000"/>
                <w:sz w:val="20"/>
              </w:rPr>
              <w:t xml:space="preserve">57 </w:t>
            </w:r>
            <w:bookmarkEnd w:id="1"/>
            <w:r w:rsidR="00C73977">
              <w:rPr>
                <w:b/>
                <w:bCs/>
                <w:color w:val="000000"/>
                <w:sz w:val="20"/>
              </w:rPr>
              <w:t>344</w:t>
            </w:r>
          </w:p>
        </w:tc>
      </w:tr>
    </w:tbl>
    <w:p w:rsidR="00533600" w:rsidRDefault="00533600" w:rsidP="00F557FA">
      <w:pPr>
        <w:rPr>
          <w:color w:val="000000"/>
          <w:sz w:val="20"/>
        </w:rPr>
      </w:pPr>
    </w:p>
    <w:p w:rsidR="00533600" w:rsidRDefault="00533600" w:rsidP="00533600">
      <w:pPr>
        <w:ind w:left="1304" w:firstLine="1"/>
        <w:rPr>
          <w:color w:val="000000"/>
          <w:sz w:val="20"/>
        </w:rPr>
      </w:pPr>
    </w:p>
    <w:p w:rsidR="00533600" w:rsidRPr="00533600" w:rsidRDefault="00533600" w:rsidP="00533600">
      <w:pPr>
        <w:ind w:left="1304" w:firstLine="1"/>
        <w:rPr>
          <w:color w:val="000000"/>
          <w:sz w:val="20"/>
        </w:rPr>
      </w:pPr>
      <w:r w:rsidRPr="00F77054">
        <w:rPr>
          <w:color w:val="000000"/>
          <w:sz w:val="20"/>
        </w:rPr>
        <w:t>FinELib velottaa aineistot kirjas</w:t>
      </w:r>
      <w:r w:rsidR="003A05CF">
        <w:rPr>
          <w:color w:val="000000"/>
          <w:sz w:val="20"/>
        </w:rPr>
        <w:t>toilta. Turku maksaa Ellibsin sekä</w:t>
      </w:r>
      <w:r w:rsidRPr="00F77054">
        <w:rPr>
          <w:color w:val="000000"/>
          <w:sz w:val="20"/>
        </w:rPr>
        <w:t xml:space="preserve"> O</w:t>
      </w:r>
      <w:r w:rsidR="003A05CF">
        <w:rPr>
          <w:color w:val="000000"/>
          <w:sz w:val="20"/>
        </w:rPr>
        <w:t xml:space="preserve">verDriven e-kirjat </w:t>
      </w:r>
      <w:r w:rsidRPr="00F77054">
        <w:rPr>
          <w:color w:val="000000"/>
          <w:sz w:val="20"/>
        </w:rPr>
        <w:t>ja velottaa muita Vaski</w:t>
      </w:r>
      <w:r w:rsidR="003B286E">
        <w:rPr>
          <w:color w:val="000000"/>
          <w:sz w:val="20"/>
        </w:rPr>
        <w:t>-</w:t>
      </w:r>
      <w:r w:rsidRPr="00F77054">
        <w:rPr>
          <w:color w:val="000000"/>
          <w:sz w:val="20"/>
        </w:rPr>
        <w:t>kirjastoja asukasluvun mukaisessa suhteessa.</w:t>
      </w:r>
    </w:p>
    <w:p w:rsidR="00533600" w:rsidRPr="00533600" w:rsidRDefault="00533600" w:rsidP="00087F31">
      <w:pPr>
        <w:rPr>
          <w:color w:val="244061" w:themeColor="accent1" w:themeShade="80"/>
          <w:sz w:val="24"/>
          <w:szCs w:val="24"/>
        </w:rPr>
      </w:pPr>
    </w:p>
    <w:tbl>
      <w:tblPr>
        <w:tblW w:w="8435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2552"/>
        <w:gridCol w:w="2693"/>
      </w:tblGrid>
      <w:tr w:rsidR="00C437F3" w:rsidRPr="00533600" w:rsidTr="00700104">
        <w:trPr>
          <w:trHeight w:val="300"/>
        </w:trPr>
        <w:tc>
          <w:tcPr>
            <w:tcW w:w="5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3600" w:rsidRPr="00533600" w:rsidRDefault="00533600" w:rsidP="00533600">
            <w:pPr>
              <w:widowControl/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06C" w:rsidRPr="00533600" w:rsidRDefault="0031706C" w:rsidP="0031706C">
            <w:pPr>
              <w:widowControl/>
              <w:rPr>
                <w:sz w:val="24"/>
                <w:szCs w:val="24"/>
              </w:rPr>
            </w:pPr>
          </w:p>
        </w:tc>
      </w:tr>
      <w:tr w:rsidR="00C437F3" w:rsidRPr="00C437F3" w:rsidTr="00700104">
        <w:trPr>
          <w:trHeight w:val="30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04" w:rsidRPr="00700104" w:rsidRDefault="0031706C" w:rsidP="0031706C">
            <w:pPr>
              <w:widowControl/>
              <w:rPr>
                <w:szCs w:val="22"/>
              </w:rPr>
            </w:pPr>
            <w:bookmarkStart w:id="2" w:name="OLE_LINK1"/>
            <w:r w:rsidRPr="00700104">
              <w:rPr>
                <w:szCs w:val="22"/>
              </w:rPr>
              <w:t>aineistotyyppi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szCs w:val="22"/>
              </w:rPr>
            </w:pPr>
            <w:r w:rsidRPr="00700104">
              <w:rPr>
                <w:szCs w:val="22"/>
              </w:rPr>
              <w:t>Hinta v. 2013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szCs w:val="22"/>
              </w:rPr>
            </w:pPr>
            <w:r w:rsidRPr="00700104">
              <w:rPr>
                <w:szCs w:val="22"/>
              </w:rPr>
              <w:t>Hinta v. 2014</w:t>
            </w:r>
            <w:r w:rsidR="002618AD">
              <w:rPr>
                <w:szCs w:val="22"/>
              </w:rPr>
              <w:t xml:space="preserve"> (arvio)</w:t>
            </w:r>
          </w:p>
        </w:tc>
      </w:tr>
      <w:tr w:rsidR="00C437F3" w:rsidRPr="00C437F3" w:rsidTr="00700104">
        <w:trPr>
          <w:trHeight w:val="285"/>
        </w:trPr>
        <w:tc>
          <w:tcPr>
            <w:tcW w:w="3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F5371D" w:rsidP="0031706C">
            <w:pPr>
              <w:widowControl/>
              <w:rPr>
                <w:szCs w:val="22"/>
              </w:rPr>
            </w:pPr>
            <w:r>
              <w:rPr>
                <w:szCs w:val="22"/>
              </w:rPr>
              <w:t xml:space="preserve">E-kirjat (Ellibs, </w:t>
            </w:r>
            <w:r w:rsidR="0031706C" w:rsidRPr="00700104">
              <w:rPr>
                <w:szCs w:val="22"/>
              </w:rPr>
              <w:t>OverDrive)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11 709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23 800</w:t>
            </w:r>
          </w:p>
        </w:tc>
      </w:tr>
      <w:tr w:rsidR="00C437F3" w:rsidRPr="00C437F3" w:rsidTr="00700104">
        <w:trPr>
          <w:trHeight w:val="495"/>
        </w:trPr>
        <w:tc>
          <w:tcPr>
            <w:tcW w:w="3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i/>
                <w:iCs/>
                <w:szCs w:val="22"/>
              </w:rPr>
            </w:pPr>
            <w:r w:rsidRPr="00700104">
              <w:rPr>
                <w:i/>
                <w:iCs/>
                <w:szCs w:val="22"/>
              </w:rPr>
              <w:t>(aineistomaksut 4000 + 7709)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i/>
                <w:iCs/>
                <w:szCs w:val="22"/>
              </w:rPr>
            </w:pPr>
            <w:r w:rsidRPr="00700104">
              <w:rPr>
                <w:i/>
                <w:iCs/>
                <w:szCs w:val="22"/>
              </w:rPr>
              <w:t>(aineistomaksut 13000 + OD:n alustamaksu 10 793)</w:t>
            </w:r>
          </w:p>
        </w:tc>
      </w:tr>
      <w:tr w:rsidR="00C437F3" w:rsidRPr="00C437F3" w:rsidTr="00700104">
        <w:trPr>
          <w:trHeight w:val="585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D86F64" w:rsidP="0031706C">
            <w:pPr>
              <w:widowControl/>
              <w:rPr>
                <w:szCs w:val="22"/>
              </w:rPr>
            </w:pPr>
            <w:r>
              <w:rPr>
                <w:szCs w:val="22"/>
              </w:rPr>
              <w:t>Tietokannat (Aleksi,</w:t>
            </w:r>
            <w:r w:rsidR="0031706C" w:rsidRPr="00700104">
              <w:rPr>
                <w:szCs w:val="22"/>
              </w:rPr>
              <w:t xml:space="preserve"> Ebsco?)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31 122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476DD6" w:rsidP="0031706C">
            <w:pPr>
              <w:widowControl/>
              <w:jc w:val="right"/>
              <w:rPr>
                <w:szCs w:val="22"/>
              </w:rPr>
            </w:pPr>
            <w:r>
              <w:rPr>
                <w:szCs w:val="22"/>
              </w:rPr>
              <w:t>37 2</w:t>
            </w:r>
            <w:r w:rsidR="0031706C" w:rsidRPr="00700104">
              <w:rPr>
                <w:szCs w:val="22"/>
              </w:rPr>
              <w:t>00</w:t>
            </w:r>
          </w:p>
        </w:tc>
      </w:tr>
      <w:tr w:rsidR="00C437F3" w:rsidRPr="00C437F3" w:rsidTr="00700104">
        <w:trPr>
          <w:trHeight w:val="87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szCs w:val="22"/>
              </w:rPr>
            </w:pPr>
            <w:r w:rsidRPr="00700104">
              <w:rPr>
                <w:szCs w:val="22"/>
              </w:rPr>
              <w:t>Sähköiset palvelut (PressDisplay, Kansallisbiografia)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10 881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476DD6" w:rsidP="0031706C">
            <w:pPr>
              <w:widowControl/>
              <w:jc w:val="right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31706C" w:rsidRPr="00700104">
              <w:rPr>
                <w:szCs w:val="22"/>
              </w:rPr>
              <w:t xml:space="preserve"> 000</w:t>
            </w:r>
          </w:p>
        </w:tc>
      </w:tr>
      <w:tr w:rsidR="00C437F3" w:rsidRPr="00C437F3" w:rsidTr="00700104">
        <w:trPr>
          <w:trHeight w:val="300"/>
        </w:trPr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rPr>
                <w:szCs w:val="22"/>
              </w:rPr>
            </w:pPr>
            <w:r w:rsidRPr="00700104">
              <w:rPr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57 712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706C" w:rsidRPr="00700104" w:rsidRDefault="0031706C" w:rsidP="0031706C">
            <w:pPr>
              <w:widowControl/>
              <w:jc w:val="right"/>
              <w:rPr>
                <w:szCs w:val="22"/>
              </w:rPr>
            </w:pPr>
            <w:r w:rsidRPr="00700104">
              <w:rPr>
                <w:szCs w:val="22"/>
              </w:rPr>
              <w:t>75 000</w:t>
            </w:r>
            <w:bookmarkEnd w:id="2"/>
          </w:p>
        </w:tc>
      </w:tr>
    </w:tbl>
    <w:p w:rsidR="0031706C" w:rsidRPr="0018761A" w:rsidRDefault="0031706C" w:rsidP="00087F31">
      <w:pPr>
        <w:rPr>
          <w:szCs w:val="22"/>
        </w:rPr>
      </w:pPr>
    </w:p>
    <w:p w:rsidR="0018761A" w:rsidRDefault="0018761A" w:rsidP="00087F31">
      <w:pPr>
        <w:rPr>
          <w:szCs w:val="22"/>
        </w:rPr>
      </w:pPr>
    </w:p>
    <w:p w:rsidR="0018761A" w:rsidRPr="0018761A" w:rsidRDefault="0018761A" w:rsidP="0018761A">
      <w:pPr>
        <w:ind w:left="1304"/>
        <w:rPr>
          <w:color w:val="000000"/>
          <w:szCs w:val="22"/>
        </w:rPr>
      </w:pPr>
      <w:r w:rsidRPr="0018761A">
        <w:rPr>
          <w:color w:val="000000"/>
          <w:szCs w:val="22"/>
        </w:rPr>
        <w:t xml:space="preserve">Vaski-kirjastojen asukaslukuihin suhteutetut laskennalliset osuudet </w:t>
      </w:r>
      <w:r w:rsidR="00A4706F">
        <w:rPr>
          <w:color w:val="000000"/>
          <w:szCs w:val="22"/>
        </w:rPr>
        <w:t>alla olevassa</w:t>
      </w:r>
      <w:r w:rsidRPr="0018761A">
        <w:rPr>
          <w:color w:val="000000"/>
          <w:szCs w:val="22"/>
        </w:rPr>
        <w:t xml:space="preserve"> taulukossa</w:t>
      </w:r>
      <w:r>
        <w:rPr>
          <w:color w:val="000000"/>
          <w:szCs w:val="22"/>
        </w:rPr>
        <w:t>.</w:t>
      </w:r>
    </w:p>
    <w:p w:rsidR="0018761A" w:rsidRPr="0018761A" w:rsidRDefault="0018761A" w:rsidP="00087F31">
      <w:pPr>
        <w:rPr>
          <w:szCs w:val="22"/>
        </w:rPr>
      </w:pPr>
    </w:p>
    <w:p w:rsidR="0018761A" w:rsidRPr="0018761A" w:rsidRDefault="0018761A" w:rsidP="00087F31">
      <w:pPr>
        <w:rPr>
          <w:szCs w:val="22"/>
        </w:rPr>
      </w:pPr>
    </w:p>
    <w:tbl>
      <w:tblPr>
        <w:tblW w:w="8865" w:type="dxa"/>
        <w:tblInd w:w="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549"/>
        <w:gridCol w:w="1263"/>
        <w:gridCol w:w="1488"/>
        <w:gridCol w:w="1732"/>
        <w:gridCol w:w="1492"/>
      </w:tblGrid>
      <w:tr w:rsidR="0018761A" w:rsidRPr="00EC09B0" w:rsidTr="0018761A">
        <w:trPr>
          <w:trHeight w:val="609"/>
        </w:trPr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20"/>
              </w:rPr>
            </w:pPr>
            <w:r w:rsidRPr="00EC09B0">
              <w:rPr>
                <w:b/>
                <w:bCs/>
                <w:color w:val="000000"/>
                <w:sz w:val="20"/>
              </w:rPr>
              <w:t>Kunta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20"/>
              </w:rPr>
            </w:pPr>
            <w:r w:rsidRPr="00EC09B0">
              <w:rPr>
                <w:b/>
                <w:bCs/>
                <w:color w:val="000000"/>
                <w:sz w:val="20"/>
              </w:rPr>
              <w:t>Asukasluku 31.12.2011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EC09B0">
              <w:rPr>
                <w:color w:val="000000"/>
                <w:sz w:val="14"/>
                <w:szCs w:val="14"/>
              </w:rPr>
              <w:t>(lähde: Väestöre</w:t>
            </w:r>
            <w:r>
              <w:rPr>
                <w:color w:val="000000"/>
                <w:sz w:val="14"/>
                <w:szCs w:val="14"/>
              </w:rPr>
              <w:t>kisterikes</w:t>
            </w:r>
            <w:r w:rsidRPr="00EC09B0">
              <w:rPr>
                <w:color w:val="000000"/>
                <w:sz w:val="14"/>
                <w:szCs w:val="14"/>
              </w:rPr>
              <w:t>kus)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20"/>
              </w:rPr>
            </w:pPr>
            <w:r w:rsidRPr="00EC09B0">
              <w:rPr>
                <w:b/>
                <w:bCs/>
                <w:color w:val="000000"/>
                <w:sz w:val="20"/>
              </w:rPr>
              <w:t>Asukasluku %-osuus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09B0">
              <w:rPr>
                <w:b/>
                <w:bCs/>
                <w:color w:val="000000"/>
                <w:sz w:val="16"/>
                <w:szCs w:val="16"/>
              </w:rPr>
              <w:t>Osuus FinELib-aineistoista ja OverDrivesta v.2013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09B0">
              <w:rPr>
                <w:b/>
                <w:bCs/>
                <w:color w:val="000000"/>
                <w:sz w:val="16"/>
                <w:szCs w:val="16"/>
              </w:rPr>
              <w:t>Osuus e-aineistohankinnoista v.2014 (ehdotus)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C09B0">
              <w:rPr>
                <w:b/>
                <w:bCs/>
                <w:color w:val="000000"/>
                <w:sz w:val="16"/>
                <w:szCs w:val="16"/>
              </w:rPr>
              <w:t>Kirjastokohtainen kustannusten nousu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Kaarina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31 081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9,06 %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5 228,71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6 795,00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1 566,29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Kustavi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0,26 %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150,05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195,00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44,95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Laitila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8 408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2,45 %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1 413,94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1 837,50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423,56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Lieto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16 690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4,87 %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2 810,57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3 652,50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847,93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Masku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9 585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2,80 %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1 615,94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2 100,00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484,06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Mynämäki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8 044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2,35 %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1 356,23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1 762,50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406,27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Naantali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18 871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5,50 %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3 174,16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4 125,00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950,84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Nousiainen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4 814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1,40 %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807,97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1 050,00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242,03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Paimio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10 471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3,05 %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1 760,22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2 287,50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527,28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Pyhäranta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2 206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0,64 %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369,36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480,00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110,64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Raisio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24 559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7,16 %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4 132,18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5 370,00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1 237,82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Rusko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5 870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1,71 %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986,88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1 282,50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295,62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Sauvo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3 043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0,89 %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513,64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667,50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153,89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Taivassalo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1 690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0,49 %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282,79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367,50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84,71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Turku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178 630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52,10 %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30 073,72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39 075,00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9 001,28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Uusikaupunki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15 685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4,57 %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2 637,44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3 427,50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790,06</w:t>
            </w:r>
          </w:p>
        </w:tc>
      </w:tr>
      <w:tr w:rsidR="0018761A" w:rsidRPr="00EC09B0" w:rsidTr="0018761A">
        <w:trPr>
          <w:trHeight w:val="264"/>
        </w:trPr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Vehmaa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2 353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0,69 %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398,21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517,50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119,29</w:t>
            </w:r>
          </w:p>
        </w:tc>
      </w:tr>
      <w:tr w:rsidR="0018761A" w:rsidRPr="00EC09B0" w:rsidTr="0018761A">
        <w:trPr>
          <w:trHeight w:val="251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rPr>
                <w:b/>
                <w:bCs/>
                <w:color w:val="000000"/>
                <w:sz w:val="20"/>
              </w:rPr>
            </w:pPr>
            <w:r w:rsidRPr="00EC09B0">
              <w:rPr>
                <w:b/>
                <w:bCs/>
                <w:color w:val="000000"/>
                <w:sz w:val="20"/>
              </w:rPr>
              <w:t>Yhteensä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342 886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100,00 %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57 712,00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max. 75 000,00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1A" w:rsidRPr="00EC09B0" w:rsidRDefault="0018761A" w:rsidP="00407402">
            <w:pPr>
              <w:jc w:val="right"/>
              <w:rPr>
                <w:color w:val="000000"/>
                <w:sz w:val="20"/>
              </w:rPr>
            </w:pPr>
            <w:r w:rsidRPr="00EC09B0">
              <w:rPr>
                <w:color w:val="000000"/>
                <w:sz w:val="20"/>
              </w:rPr>
              <w:t>17 288,00</w:t>
            </w:r>
          </w:p>
        </w:tc>
      </w:tr>
    </w:tbl>
    <w:p w:rsidR="0018761A" w:rsidRPr="00871524" w:rsidRDefault="0018761A" w:rsidP="00087F31">
      <w:pPr>
        <w:rPr>
          <w:rFonts w:asciiTheme="majorHAnsi" w:hAnsiTheme="majorHAnsi"/>
          <w:sz w:val="32"/>
          <w:szCs w:val="32"/>
        </w:rPr>
      </w:pPr>
    </w:p>
    <w:sectPr w:rsidR="0018761A" w:rsidRPr="00871524" w:rsidSect="00357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0" w:rsidRDefault="00CE0490" w:rsidP="00357C7A">
      <w:r>
        <w:separator/>
      </w:r>
    </w:p>
  </w:endnote>
  <w:endnote w:type="continuationSeparator" w:id="0">
    <w:p w:rsidR="00CE0490" w:rsidRDefault="00CE0490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3F023D" w:rsidRDefault="00CE0490" w:rsidP="003A6628">
    <w:pPr>
      <w:pStyle w:val="Alatunniste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0" w:rsidRDefault="00CE0490" w:rsidP="00357C7A">
      <w:r>
        <w:separator/>
      </w:r>
    </w:p>
  </w:footnote>
  <w:footnote w:type="continuationSeparator" w:id="0">
    <w:p w:rsidR="00CE0490" w:rsidRDefault="00CE0490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Default="00CE0490" w:rsidP="00F84D6A">
    <w:pPr>
      <w:pStyle w:val="Yltunniste"/>
      <w:rPr>
        <w:sz w:val="20"/>
      </w:rPr>
    </w:pPr>
    <w:r>
      <w:rPr>
        <w:noProof/>
      </w:rPr>
      <w:drawing>
        <wp:inline distT="0" distB="0" distL="0" distR="0" wp14:anchorId="3D6C8066" wp14:editId="06868BAB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  <w:r>
      <w:rPr>
        <w:sz w:val="20"/>
      </w:rPr>
      <w:t xml:space="preserve">Ehdotus Vaski-kirjastojen </w:t>
    </w:r>
    <w:r w:rsidR="00716049">
      <w:rPr>
        <w:sz w:val="20"/>
      </w:rPr>
      <w:t>e-aineistolinjaukseksi</w:t>
    </w:r>
  </w:p>
  <w:p w:rsidR="00CE0490" w:rsidRPr="00087F31" w:rsidRDefault="00CE0490" w:rsidP="00F84D6A">
    <w:pPr>
      <w:pStyle w:val="Yltunniste"/>
      <w:rPr>
        <w:sz w:val="20"/>
      </w:rPr>
    </w:pPr>
  </w:p>
  <w:p w:rsidR="00CE0490" w:rsidRDefault="00CE0490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E6745" wp14:editId="794C92FC">
              <wp:simplePos x="0" y="0"/>
              <wp:positionH relativeFrom="column">
                <wp:posOffset>-720090</wp:posOffset>
              </wp:positionH>
              <wp:positionV relativeFrom="paragraph">
                <wp:posOffset>59690</wp:posOffset>
              </wp:positionV>
              <wp:extent cx="7572375" cy="27940"/>
              <wp:effectExtent l="0" t="0" r="28575" b="2921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27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53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9A" w:rsidRDefault="000A7F9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9E14600"/>
    <w:multiLevelType w:val="hybridMultilevel"/>
    <w:tmpl w:val="4C8C2444"/>
    <w:lvl w:ilvl="0" w:tplc="5ADE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72CB"/>
    <w:multiLevelType w:val="hybridMultilevel"/>
    <w:tmpl w:val="93DC0396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C0E"/>
    <w:multiLevelType w:val="hybridMultilevel"/>
    <w:tmpl w:val="E4BA69DC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02B2B"/>
    <w:multiLevelType w:val="hybridMultilevel"/>
    <w:tmpl w:val="A154927E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4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615FE"/>
    <w:rsid w:val="00081351"/>
    <w:rsid w:val="00087F31"/>
    <w:rsid w:val="00092D9A"/>
    <w:rsid w:val="000A74F7"/>
    <w:rsid w:val="000A7F9A"/>
    <w:rsid w:val="000B0683"/>
    <w:rsid w:val="000B12EC"/>
    <w:rsid w:val="000B14D9"/>
    <w:rsid w:val="000C50CE"/>
    <w:rsid w:val="000C6EFC"/>
    <w:rsid w:val="000C70A5"/>
    <w:rsid w:val="000D3016"/>
    <w:rsid w:val="000D5E08"/>
    <w:rsid w:val="000E6AC4"/>
    <w:rsid w:val="000F00CE"/>
    <w:rsid w:val="000F1D84"/>
    <w:rsid w:val="000F1EF6"/>
    <w:rsid w:val="0010083F"/>
    <w:rsid w:val="00115E4B"/>
    <w:rsid w:val="00146C1A"/>
    <w:rsid w:val="0015103F"/>
    <w:rsid w:val="00157C9A"/>
    <w:rsid w:val="00157FB9"/>
    <w:rsid w:val="0018761A"/>
    <w:rsid w:val="001959C0"/>
    <w:rsid w:val="001B33F8"/>
    <w:rsid w:val="001C4A87"/>
    <w:rsid w:val="001D2149"/>
    <w:rsid w:val="001F65F5"/>
    <w:rsid w:val="002066B8"/>
    <w:rsid w:val="00223061"/>
    <w:rsid w:val="00243BFF"/>
    <w:rsid w:val="002618AD"/>
    <w:rsid w:val="0027510E"/>
    <w:rsid w:val="00276A60"/>
    <w:rsid w:val="002A10CF"/>
    <w:rsid w:val="002B5960"/>
    <w:rsid w:val="002C7095"/>
    <w:rsid w:val="002D5F5E"/>
    <w:rsid w:val="002D62D2"/>
    <w:rsid w:val="00300804"/>
    <w:rsid w:val="0031397E"/>
    <w:rsid w:val="0031706C"/>
    <w:rsid w:val="00330869"/>
    <w:rsid w:val="00357C7A"/>
    <w:rsid w:val="00360B18"/>
    <w:rsid w:val="00361DA0"/>
    <w:rsid w:val="00364089"/>
    <w:rsid w:val="003A05CF"/>
    <w:rsid w:val="003A2F7C"/>
    <w:rsid w:val="003A6628"/>
    <w:rsid w:val="003B21A2"/>
    <w:rsid w:val="003B286E"/>
    <w:rsid w:val="003C66E8"/>
    <w:rsid w:val="003D11D9"/>
    <w:rsid w:val="003D3C0D"/>
    <w:rsid w:val="003E66C6"/>
    <w:rsid w:val="003F023D"/>
    <w:rsid w:val="003F24FA"/>
    <w:rsid w:val="003F36FD"/>
    <w:rsid w:val="00407A94"/>
    <w:rsid w:val="004233F2"/>
    <w:rsid w:val="00425B20"/>
    <w:rsid w:val="00432AF3"/>
    <w:rsid w:val="00453148"/>
    <w:rsid w:val="00476DD6"/>
    <w:rsid w:val="004A2696"/>
    <w:rsid w:val="004C05E2"/>
    <w:rsid w:val="004C3774"/>
    <w:rsid w:val="004D6C80"/>
    <w:rsid w:val="004E73B1"/>
    <w:rsid w:val="004F5471"/>
    <w:rsid w:val="00502B4A"/>
    <w:rsid w:val="00523D35"/>
    <w:rsid w:val="00530A05"/>
    <w:rsid w:val="00533600"/>
    <w:rsid w:val="005475E7"/>
    <w:rsid w:val="00593219"/>
    <w:rsid w:val="005B1C62"/>
    <w:rsid w:val="005B272A"/>
    <w:rsid w:val="005D07A0"/>
    <w:rsid w:val="005F3F13"/>
    <w:rsid w:val="006075E9"/>
    <w:rsid w:val="00607E0F"/>
    <w:rsid w:val="0061577A"/>
    <w:rsid w:val="00620924"/>
    <w:rsid w:val="00623615"/>
    <w:rsid w:val="0064581C"/>
    <w:rsid w:val="0064725D"/>
    <w:rsid w:val="00664B11"/>
    <w:rsid w:val="00672A10"/>
    <w:rsid w:val="006805AE"/>
    <w:rsid w:val="006875D0"/>
    <w:rsid w:val="006E168C"/>
    <w:rsid w:val="00700104"/>
    <w:rsid w:val="00716049"/>
    <w:rsid w:val="00743250"/>
    <w:rsid w:val="00751C50"/>
    <w:rsid w:val="00753D9D"/>
    <w:rsid w:val="00771C10"/>
    <w:rsid w:val="007A6A75"/>
    <w:rsid w:val="007A6CF9"/>
    <w:rsid w:val="007C4A96"/>
    <w:rsid w:val="007E3042"/>
    <w:rsid w:val="007F087B"/>
    <w:rsid w:val="007F4060"/>
    <w:rsid w:val="007F47B7"/>
    <w:rsid w:val="00813098"/>
    <w:rsid w:val="00816777"/>
    <w:rsid w:val="008178DF"/>
    <w:rsid w:val="008411E6"/>
    <w:rsid w:val="00850801"/>
    <w:rsid w:val="008614E2"/>
    <w:rsid w:val="00871524"/>
    <w:rsid w:val="00871D55"/>
    <w:rsid w:val="00873768"/>
    <w:rsid w:val="00895EF3"/>
    <w:rsid w:val="008A3481"/>
    <w:rsid w:val="008B0607"/>
    <w:rsid w:val="008C00D3"/>
    <w:rsid w:val="008C0878"/>
    <w:rsid w:val="008D6537"/>
    <w:rsid w:val="008F1578"/>
    <w:rsid w:val="008F47D7"/>
    <w:rsid w:val="00902514"/>
    <w:rsid w:val="009044F8"/>
    <w:rsid w:val="00913B3A"/>
    <w:rsid w:val="009173D4"/>
    <w:rsid w:val="00925490"/>
    <w:rsid w:val="00927DD3"/>
    <w:rsid w:val="0094725F"/>
    <w:rsid w:val="009608D5"/>
    <w:rsid w:val="00996E05"/>
    <w:rsid w:val="009A0ACC"/>
    <w:rsid w:val="009B10B9"/>
    <w:rsid w:val="009B3F0F"/>
    <w:rsid w:val="009C112B"/>
    <w:rsid w:val="009D2EDA"/>
    <w:rsid w:val="009D35E8"/>
    <w:rsid w:val="009D3CDB"/>
    <w:rsid w:val="009E430F"/>
    <w:rsid w:val="00A03F30"/>
    <w:rsid w:val="00A13E0A"/>
    <w:rsid w:val="00A3378C"/>
    <w:rsid w:val="00A41499"/>
    <w:rsid w:val="00A4706F"/>
    <w:rsid w:val="00A63803"/>
    <w:rsid w:val="00A72423"/>
    <w:rsid w:val="00A82096"/>
    <w:rsid w:val="00A855D8"/>
    <w:rsid w:val="00A868DF"/>
    <w:rsid w:val="00AA3CB1"/>
    <w:rsid w:val="00AA4875"/>
    <w:rsid w:val="00AA53D9"/>
    <w:rsid w:val="00AA6DB3"/>
    <w:rsid w:val="00AB07B9"/>
    <w:rsid w:val="00AC0EB3"/>
    <w:rsid w:val="00AD22A0"/>
    <w:rsid w:val="00B115D0"/>
    <w:rsid w:val="00B419A5"/>
    <w:rsid w:val="00B47033"/>
    <w:rsid w:val="00B770C5"/>
    <w:rsid w:val="00B90221"/>
    <w:rsid w:val="00BA1B2F"/>
    <w:rsid w:val="00BA1BF5"/>
    <w:rsid w:val="00BA6323"/>
    <w:rsid w:val="00BC0800"/>
    <w:rsid w:val="00BC483D"/>
    <w:rsid w:val="00BE03AF"/>
    <w:rsid w:val="00BE506A"/>
    <w:rsid w:val="00BF4B18"/>
    <w:rsid w:val="00C07589"/>
    <w:rsid w:val="00C165DF"/>
    <w:rsid w:val="00C20936"/>
    <w:rsid w:val="00C328D8"/>
    <w:rsid w:val="00C41980"/>
    <w:rsid w:val="00C437F3"/>
    <w:rsid w:val="00C5163C"/>
    <w:rsid w:val="00C52FF2"/>
    <w:rsid w:val="00C657F1"/>
    <w:rsid w:val="00C7225F"/>
    <w:rsid w:val="00C73977"/>
    <w:rsid w:val="00C771C7"/>
    <w:rsid w:val="00C833AA"/>
    <w:rsid w:val="00C86423"/>
    <w:rsid w:val="00CA5FA2"/>
    <w:rsid w:val="00CD2D6D"/>
    <w:rsid w:val="00CD6A90"/>
    <w:rsid w:val="00CE0490"/>
    <w:rsid w:val="00D00627"/>
    <w:rsid w:val="00D0798F"/>
    <w:rsid w:val="00D13000"/>
    <w:rsid w:val="00D23DE5"/>
    <w:rsid w:val="00D31B41"/>
    <w:rsid w:val="00D32B13"/>
    <w:rsid w:val="00D85902"/>
    <w:rsid w:val="00D86F64"/>
    <w:rsid w:val="00D9109E"/>
    <w:rsid w:val="00DA7F9D"/>
    <w:rsid w:val="00DD29AA"/>
    <w:rsid w:val="00DE20D1"/>
    <w:rsid w:val="00DE7706"/>
    <w:rsid w:val="00DF7631"/>
    <w:rsid w:val="00E02C20"/>
    <w:rsid w:val="00E12A04"/>
    <w:rsid w:val="00E321B4"/>
    <w:rsid w:val="00E51485"/>
    <w:rsid w:val="00E56B95"/>
    <w:rsid w:val="00E81993"/>
    <w:rsid w:val="00E926F1"/>
    <w:rsid w:val="00EA14DD"/>
    <w:rsid w:val="00ED18E7"/>
    <w:rsid w:val="00ED1B14"/>
    <w:rsid w:val="00ED4A07"/>
    <w:rsid w:val="00ED51FD"/>
    <w:rsid w:val="00EE5D21"/>
    <w:rsid w:val="00F11E45"/>
    <w:rsid w:val="00F25E69"/>
    <w:rsid w:val="00F46B10"/>
    <w:rsid w:val="00F5371D"/>
    <w:rsid w:val="00F557FA"/>
    <w:rsid w:val="00F70399"/>
    <w:rsid w:val="00F7045F"/>
    <w:rsid w:val="00F84D6A"/>
    <w:rsid w:val="00FB0879"/>
    <w:rsid w:val="00FC0E84"/>
    <w:rsid w:val="00FE0C1E"/>
    <w:rsid w:val="00FE67A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2238-ADBF-4C51-83FE-77AE3D19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6930</Characters>
  <Application>Microsoft Office Word</Application>
  <DocSecurity>4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Rytkönen Arja</cp:lastModifiedBy>
  <cp:revision>2</cp:revision>
  <cp:lastPrinted>2013-01-23T11:01:00Z</cp:lastPrinted>
  <dcterms:created xsi:type="dcterms:W3CDTF">2013-02-01T08:32:00Z</dcterms:created>
  <dcterms:modified xsi:type="dcterms:W3CDTF">2013-02-01T08:32:00Z</dcterms:modified>
</cp:coreProperties>
</file>