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31" w:rsidRDefault="009831E2" w:rsidP="00B62331">
      <w:pPr>
        <w:pStyle w:val="Luettelokappale1"/>
        <w:ind w:left="0"/>
        <w:rPr>
          <w:u w:val="single"/>
        </w:rPr>
      </w:pPr>
      <w:bookmarkStart w:id="0" w:name="_GoBack"/>
      <w:bookmarkEnd w:id="0"/>
      <w:r w:rsidRPr="00EC682A">
        <w:rPr>
          <w:u w:val="single"/>
        </w:rPr>
        <w:t>Yhteisesti ha</w:t>
      </w:r>
      <w:r>
        <w:rPr>
          <w:u w:val="single"/>
        </w:rPr>
        <w:t>nkittavan kokoelma: kellutuskokeilun toteutusvaihtoehtoja</w:t>
      </w:r>
    </w:p>
    <w:p w:rsidR="00B62331" w:rsidRPr="00B62331" w:rsidRDefault="00B62331" w:rsidP="00B62331">
      <w:pPr>
        <w:pStyle w:val="Luettelokappale1"/>
        <w:ind w:left="0"/>
        <w:rPr>
          <w:u w:val="single"/>
        </w:rPr>
      </w:pPr>
    </w:p>
    <w:p w:rsidR="009831E2" w:rsidRPr="009831E2" w:rsidRDefault="009831E2" w:rsidP="009831E2">
      <w:r w:rsidRPr="009831E2">
        <w:t>Toteutusvaihtoehdoissa on huomioitava, että niteiden laina-aika ja muut ominaisuudet (esim. varatt</w:t>
      </w:r>
      <w:r w:rsidRPr="009831E2">
        <w:t>a</w:t>
      </w:r>
      <w:r w:rsidRPr="009831E2">
        <w:t>vuus) noudattavat nimekekohtaisia asetuksia, tarkoituksena ei ole muodostaa uutta jokeri-kokoelmaa.</w:t>
      </w:r>
    </w:p>
    <w:p w:rsidR="009831E2" w:rsidRDefault="009831E2" w:rsidP="009831E2">
      <w:pPr>
        <w:ind w:firstLine="360"/>
      </w:pPr>
    </w:p>
    <w:p w:rsidR="009831E2" w:rsidRPr="00EC682A" w:rsidRDefault="009831E2" w:rsidP="009831E2">
      <w:pPr>
        <w:pStyle w:val="Luettelokappale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EC682A">
        <w:rPr>
          <w:rFonts w:ascii="Arial" w:hAnsi="Arial" w:cs="Arial"/>
          <w:sz w:val="22"/>
          <w:szCs w:val="22"/>
        </w:rPr>
        <w:t>Varatuin aineisto: Kelluva kokoelma muodostetaan varausjonojen purkuun tarkoitetuilla täyde</w:t>
      </w:r>
      <w:r w:rsidRPr="00EC682A">
        <w:rPr>
          <w:rFonts w:ascii="Arial" w:hAnsi="Arial" w:cs="Arial"/>
          <w:sz w:val="22"/>
          <w:szCs w:val="22"/>
        </w:rPr>
        <w:t>n</w:t>
      </w:r>
      <w:r w:rsidRPr="00EC682A">
        <w:rPr>
          <w:rFonts w:ascii="Arial" w:hAnsi="Arial" w:cs="Arial"/>
          <w:sz w:val="22"/>
          <w:szCs w:val="22"/>
        </w:rPr>
        <w:t xml:space="preserve">nystilauksilla. Varausjonojen purkauduttua täydennysniteet jäävät yhteiseen kokoelmaan. </w:t>
      </w:r>
    </w:p>
    <w:p w:rsidR="003B6ACF" w:rsidRDefault="009831E2" w:rsidP="00957144">
      <w:pPr>
        <w:pStyle w:val="Luettelokappale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EC682A">
        <w:rPr>
          <w:rFonts w:ascii="Arial" w:hAnsi="Arial" w:cs="Arial"/>
          <w:sz w:val="22"/>
          <w:szCs w:val="22"/>
        </w:rPr>
        <w:t>Suosittu kirja-aineisto: Kelluva</w:t>
      </w:r>
      <w:r>
        <w:rPr>
          <w:rFonts w:ascii="Arial" w:hAnsi="Arial" w:cs="Arial"/>
          <w:sz w:val="22"/>
          <w:szCs w:val="22"/>
        </w:rPr>
        <w:t>n</w:t>
      </w:r>
      <w:r w:rsidRPr="00EC682A">
        <w:rPr>
          <w:rFonts w:ascii="Arial" w:hAnsi="Arial" w:cs="Arial"/>
          <w:sz w:val="22"/>
          <w:szCs w:val="22"/>
        </w:rPr>
        <w:t xml:space="preserve"> kokoelman kokeiluerä muodostetaan suositusta kirja-aineistosta. Kokoelman tarkoituksena ei ole varausjonojen purku vaan myös muun suositun mutta ei kovasti varatun aineiston </w:t>
      </w:r>
      <w:r>
        <w:rPr>
          <w:rFonts w:ascii="Arial" w:hAnsi="Arial" w:cs="Arial"/>
          <w:sz w:val="22"/>
          <w:szCs w:val="22"/>
        </w:rPr>
        <w:t>saatavuuden parantaminen, esim. kurssikirjat, suositut lastenkirjat, klassikot, steadysellerit</w:t>
      </w:r>
      <w:r w:rsidR="00286737">
        <w:rPr>
          <w:rFonts w:ascii="Arial" w:hAnsi="Arial" w:cs="Arial"/>
          <w:sz w:val="22"/>
          <w:szCs w:val="22"/>
        </w:rPr>
        <w:t>, marginaalisempi laatukirjallisuus</w:t>
      </w:r>
      <w:r w:rsidR="00E11E2B">
        <w:rPr>
          <w:rFonts w:ascii="Arial" w:hAnsi="Arial" w:cs="Arial"/>
          <w:sz w:val="22"/>
          <w:szCs w:val="22"/>
        </w:rPr>
        <w:t>, jota ei välttämättä hankita pienemmissä kirja</w:t>
      </w:r>
      <w:r w:rsidR="00E11E2B">
        <w:rPr>
          <w:rFonts w:ascii="Arial" w:hAnsi="Arial" w:cs="Arial"/>
          <w:sz w:val="22"/>
          <w:szCs w:val="22"/>
        </w:rPr>
        <w:t>s</w:t>
      </w:r>
      <w:r w:rsidR="00CB18E5">
        <w:rPr>
          <w:rFonts w:ascii="Arial" w:hAnsi="Arial" w:cs="Arial"/>
          <w:sz w:val="22"/>
          <w:szCs w:val="22"/>
        </w:rPr>
        <w:t>toissa. V</w:t>
      </w:r>
      <w:r>
        <w:rPr>
          <w:rFonts w:ascii="Arial" w:hAnsi="Arial" w:cs="Arial"/>
          <w:sz w:val="22"/>
          <w:szCs w:val="22"/>
        </w:rPr>
        <w:t>oidaan yhdistää a-vaihtoehdon kanssa</w:t>
      </w:r>
      <w:r w:rsidR="003B6ACF">
        <w:rPr>
          <w:rFonts w:ascii="Arial" w:hAnsi="Arial" w:cs="Arial"/>
          <w:sz w:val="22"/>
          <w:szCs w:val="22"/>
        </w:rPr>
        <w:t>.</w:t>
      </w:r>
    </w:p>
    <w:p w:rsidR="00B91F75" w:rsidRPr="00957144" w:rsidRDefault="00141601" w:rsidP="00957144">
      <w:pPr>
        <w:pStyle w:val="Luettelokappale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Vähän hankittu</w:t>
      </w:r>
      <w:r w:rsidR="00B91F75">
        <w:rPr>
          <w:rFonts w:ascii="Arial" w:hAnsi="Arial" w:cs="Arial"/>
          <w:sz w:val="22"/>
          <w:szCs w:val="22"/>
        </w:rPr>
        <w:t xml:space="preserve"> ”laatukirjallisuus”: Laadukkaat kirjalliset teokset, jotka kestävät aikaa ja joiden v</w:t>
      </w:r>
      <w:r w:rsidR="00B91F75">
        <w:rPr>
          <w:rFonts w:ascii="Arial" w:hAnsi="Arial" w:cs="Arial"/>
          <w:sz w:val="22"/>
          <w:szCs w:val="22"/>
        </w:rPr>
        <w:t>a</w:t>
      </w:r>
      <w:r w:rsidR="00B91F75">
        <w:rPr>
          <w:rFonts w:ascii="Arial" w:hAnsi="Arial" w:cs="Arial"/>
          <w:sz w:val="22"/>
          <w:szCs w:val="22"/>
        </w:rPr>
        <w:t>linnasta ensimmäisenä tingitään vähäisten määrärahojen vuoksi.</w:t>
      </w:r>
      <w:r w:rsidR="00CB18E5">
        <w:rPr>
          <w:rFonts w:ascii="Arial" w:hAnsi="Arial" w:cs="Arial"/>
          <w:sz w:val="22"/>
          <w:szCs w:val="22"/>
        </w:rPr>
        <w:t xml:space="preserve"> Voidaan yhdistää b-vaihtoehdon kanssa.</w:t>
      </w:r>
    </w:p>
    <w:p w:rsidR="009831E2" w:rsidRPr="00EC682A" w:rsidRDefault="009831E2" w:rsidP="009831E2">
      <w:pPr>
        <w:pStyle w:val="Luettelokappale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EC682A">
        <w:rPr>
          <w:rFonts w:ascii="Arial" w:hAnsi="Arial" w:cs="Arial"/>
          <w:sz w:val="22"/>
          <w:szCs w:val="22"/>
        </w:rPr>
        <w:t xml:space="preserve">Av-aineisto, erityisesti konsolipelit </w:t>
      </w:r>
    </w:p>
    <w:p w:rsidR="009831E2" w:rsidRDefault="009831E2" w:rsidP="009831E2"/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2855"/>
        <w:gridCol w:w="2513"/>
        <w:gridCol w:w="2524"/>
      </w:tblGrid>
      <w:tr w:rsidR="009831E2" w:rsidTr="00352D05">
        <w:trPr>
          <w:trHeight w:val="515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9831E2" w:rsidRDefault="009831E2" w:rsidP="008B1952">
            <w:pPr>
              <w:jc w:val="center"/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9831E2" w:rsidRDefault="009831E2" w:rsidP="008B1952">
            <w:pPr>
              <w:jc w:val="center"/>
            </w:pPr>
            <w:r>
              <w:t>Plussat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9831E2" w:rsidRDefault="009831E2" w:rsidP="008B1952">
            <w:pPr>
              <w:jc w:val="center"/>
            </w:pPr>
            <w:r>
              <w:t>Miinukset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9831E2" w:rsidRDefault="009831E2" w:rsidP="008B1952">
            <w:pPr>
              <w:jc w:val="center"/>
            </w:pPr>
            <w:r>
              <w:t>Huom.</w:t>
            </w:r>
          </w:p>
        </w:tc>
      </w:tr>
      <w:tr w:rsidR="009831E2" w:rsidTr="00352D05">
        <w:trPr>
          <w:trHeight w:val="3665"/>
          <w:jc w:val="center"/>
        </w:trPr>
        <w:tc>
          <w:tcPr>
            <w:tcW w:w="1632" w:type="dxa"/>
            <w:shd w:val="clear" w:color="auto" w:fill="auto"/>
          </w:tcPr>
          <w:p w:rsidR="009831E2" w:rsidRDefault="009831E2" w:rsidP="008B1952">
            <w:r>
              <w:t>Varatuin aineisto</w:t>
            </w:r>
          </w:p>
        </w:tc>
        <w:tc>
          <w:tcPr>
            <w:tcW w:w="2929" w:type="dxa"/>
            <w:shd w:val="clear" w:color="auto" w:fill="auto"/>
          </w:tcPr>
          <w:p w:rsidR="009831E2" w:rsidRDefault="009831E2" w:rsidP="008B1952">
            <w:r>
              <w:t>+ varausjonojen nopeampi purku</w:t>
            </w:r>
          </w:p>
          <w:p w:rsidR="009831E2" w:rsidRDefault="009831E2" w:rsidP="008B1952">
            <w:r>
              <w:t>+ yhteisvastuullisuus k</w:t>
            </w:r>
            <w:r>
              <w:t>y</w:t>
            </w:r>
            <w:r>
              <w:t>syntään vastaamisessa</w:t>
            </w:r>
          </w:p>
          <w:p w:rsidR="009831E2" w:rsidRDefault="009831E2" w:rsidP="008B1952">
            <w:r>
              <w:t>+ kysynnän laannuttua niteet vahvistavat pieni</w:t>
            </w:r>
            <w:r>
              <w:t>m</w:t>
            </w:r>
            <w:r>
              <w:t>pien kirjastojen kokoe</w:t>
            </w:r>
            <w:r>
              <w:t>l</w:t>
            </w:r>
            <w:r>
              <w:t>mia?</w:t>
            </w:r>
          </w:p>
        </w:tc>
        <w:tc>
          <w:tcPr>
            <w:tcW w:w="2593" w:type="dxa"/>
            <w:shd w:val="clear" w:color="auto" w:fill="auto"/>
          </w:tcPr>
          <w:p w:rsidR="009831E2" w:rsidRDefault="009831E2" w:rsidP="008B1952">
            <w:r>
              <w:t>- vaatii jatkuvaa se</w:t>
            </w:r>
            <w:r>
              <w:t>u</w:t>
            </w:r>
            <w:r>
              <w:t>rantaa ja nopeaa re</w:t>
            </w:r>
            <w:r>
              <w:t>a</w:t>
            </w:r>
            <w:r>
              <w:t xml:space="preserve">gointia </w:t>
            </w:r>
            <w:r w:rsidRPr="000554F6">
              <w:rPr>
                <w:rFonts w:ascii="Calibri" w:hAnsi="Calibri"/>
              </w:rPr>
              <w:t>→</w:t>
            </w:r>
            <w:r>
              <w:t xml:space="preserve"> lisätyötä</w:t>
            </w:r>
          </w:p>
          <w:p w:rsidR="009831E2" w:rsidRDefault="00744E63" w:rsidP="008B1952">
            <w:r>
              <w:t>- lisääkö suht</w:t>
            </w:r>
            <w:r w:rsidR="009831E2">
              <w:t xml:space="preserve"> uusien niteiden poistotarvetta, kun kysyntä laantunut?</w:t>
            </w:r>
          </w:p>
          <w:p w:rsidR="009831E2" w:rsidRDefault="009831E2" w:rsidP="008B1952"/>
        </w:tc>
        <w:tc>
          <w:tcPr>
            <w:tcW w:w="2593" w:type="dxa"/>
            <w:shd w:val="clear" w:color="auto" w:fill="auto"/>
          </w:tcPr>
          <w:p w:rsidR="009831E2" w:rsidRDefault="009831E2" w:rsidP="009831E2">
            <w:pPr>
              <w:numPr>
                <w:ilvl w:val="0"/>
                <w:numId w:val="17"/>
              </w:numPr>
            </w:pPr>
            <w:r>
              <w:t>missä seur</w:t>
            </w:r>
            <w:r>
              <w:t>a</w:t>
            </w:r>
            <w:r>
              <w:t>taan/kuka seuraa varausjonoja</w:t>
            </w:r>
          </w:p>
          <w:p w:rsidR="009831E2" w:rsidRDefault="009831E2" w:rsidP="009831E2">
            <w:pPr>
              <w:numPr>
                <w:ilvl w:val="0"/>
                <w:numId w:val="17"/>
              </w:numPr>
            </w:pPr>
            <w:r>
              <w:t>hankinta ja lainau</w:t>
            </w:r>
            <w:r>
              <w:t>s</w:t>
            </w:r>
            <w:r>
              <w:t>kuntoon saattam</w:t>
            </w:r>
            <w:r>
              <w:t>i</w:t>
            </w:r>
            <w:r>
              <w:t>nen?</w:t>
            </w:r>
          </w:p>
          <w:p w:rsidR="009831E2" w:rsidRDefault="009831E2" w:rsidP="009831E2">
            <w:pPr>
              <w:numPr>
                <w:ilvl w:val="0"/>
                <w:numId w:val="17"/>
              </w:numPr>
            </w:pPr>
            <w:r>
              <w:t>mitkä ovat hälyty</w:t>
            </w:r>
            <w:r>
              <w:t>s</w:t>
            </w:r>
            <w:r>
              <w:t>rajat uusien nite</w:t>
            </w:r>
            <w:r>
              <w:t>i</w:t>
            </w:r>
            <w:r>
              <w:t>den hankintaan, missä suhteessa (kpl/varaukset) hankitaan uusia n</w:t>
            </w:r>
            <w:r>
              <w:t>i</w:t>
            </w:r>
            <w:r>
              <w:t>teitä</w:t>
            </w:r>
          </w:p>
          <w:p w:rsidR="009831E2" w:rsidRDefault="009831E2" w:rsidP="009831E2">
            <w:pPr>
              <w:numPr>
                <w:ilvl w:val="0"/>
                <w:numId w:val="17"/>
              </w:numPr>
            </w:pPr>
            <w:r>
              <w:t>määrärahan se</w:t>
            </w:r>
            <w:r>
              <w:t>u</w:t>
            </w:r>
            <w:r>
              <w:t>ranta?</w:t>
            </w:r>
          </w:p>
          <w:p w:rsidR="009831E2" w:rsidRDefault="009831E2" w:rsidP="008B1952">
            <w:pPr>
              <w:ind w:left="360"/>
            </w:pPr>
          </w:p>
        </w:tc>
      </w:tr>
      <w:tr w:rsidR="009831E2" w:rsidTr="00352D05">
        <w:trPr>
          <w:trHeight w:val="1935"/>
          <w:jc w:val="center"/>
        </w:trPr>
        <w:tc>
          <w:tcPr>
            <w:tcW w:w="1632" w:type="dxa"/>
            <w:shd w:val="clear" w:color="auto" w:fill="auto"/>
          </w:tcPr>
          <w:p w:rsidR="009831E2" w:rsidRDefault="009831E2" w:rsidP="008B1952">
            <w:r>
              <w:t>Suosittu kirja-aineisto</w:t>
            </w:r>
          </w:p>
        </w:tc>
        <w:tc>
          <w:tcPr>
            <w:tcW w:w="2929" w:type="dxa"/>
            <w:shd w:val="clear" w:color="auto" w:fill="auto"/>
          </w:tcPr>
          <w:p w:rsidR="009831E2" w:rsidRDefault="009831E2" w:rsidP="008B1952">
            <w:r>
              <w:t>+ tarjonnan monipuolisu</w:t>
            </w:r>
            <w:r>
              <w:t>u</w:t>
            </w:r>
            <w:r>
              <w:t>den tukeminen</w:t>
            </w:r>
          </w:p>
          <w:p w:rsidR="009831E2" w:rsidRDefault="009831E2" w:rsidP="008B1952">
            <w:r>
              <w:t>+ tukee kirjastojen toimi</w:t>
            </w:r>
            <w:r>
              <w:t>n</w:t>
            </w:r>
            <w:r>
              <w:t>ta-ajatusta ja pitkäjänteistä kokoelmatyötä</w:t>
            </w:r>
          </w:p>
          <w:p w:rsidR="00254212" w:rsidRDefault="00254212" w:rsidP="008B1952">
            <w:r>
              <w:t xml:space="preserve">+ tukee pienten kirjastojen kokoelmia </w:t>
            </w:r>
          </w:p>
          <w:p w:rsidR="009831E2" w:rsidRDefault="009831E2" w:rsidP="008B1952"/>
        </w:tc>
        <w:tc>
          <w:tcPr>
            <w:tcW w:w="2593" w:type="dxa"/>
            <w:shd w:val="clear" w:color="auto" w:fill="auto"/>
          </w:tcPr>
          <w:p w:rsidR="009831E2" w:rsidRDefault="009831E2" w:rsidP="008B1952"/>
        </w:tc>
        <w:tc>
          <w:tcPr>
            <w:tcW w:w="2593" w:type="dxa"/>
            <w:shd w:val="clear" w:color="auto" w:fill="auto"/>
          </w:tcPr>
          <w:p w:rsidR="009831E2" w:rsidRDefault="009831E2" w:rsidP="009831E2">
            <w:pPr>
              <w:numPr>
                <w:ilvl w:val="0"/>
                <w:numId w:val="18"/>
              </w:numPr>
            </w:pPr>
            <w:r>
              <w:t>ei niin hektinen kuin kohta a</w:t>
            </w:r>
          </w:p>
          <w:p w:rsidR="009831E2" w:rsidRDefault="009831E2" w:rsidP="009831E2">
            <w:pPr>
              <w:numPr>
                <w:ilvl w:val="0"/>
                <w:numId w:val="18"/>
              </w:numPr>
            </w:pPr>
            <w:r>
              <w:t>hankitaan erä 2-3 kertaa vuodessa?</w:t>
            </w:r>
          </w:p>
        </w:tc>
      </w:tr>
      <w:tr w:rsidR="00B91F75" w:rsidTr="00352D05">
        <w:trPr>
          <w:jc w:val="center"/>
        </w:trPr>
        <w:tc>
          <w:tcPr>
            <w:tcW w:w="1632" w:type="dxa"/>
            <w:shd w:val="clear" w:color="auto" w:fill="auto"/>
          </w:tcPr>
          <w:p w:rsidR="00B91F75" w:rsidRDefault="00141601" w:rsidP="008B1952">
            <w:r>
              <w:t xml:space="preserve">Vähän hankittu </w:t>
            </w:r>
            <w:r w:rsidR="00B91F75">
              <w:t xml:space="preserve"> ”laatukirjallisuus”</w:t>
            </w:r>
          </w:p>
        </w:tc>
        <w:tc>
          <w:tcPr>
            <w:tcW w:w="2929" w:type="dxa"/>
            <w:shd w:val="clear" w:color="auto" w:fill="auto"/>
          </w:tcPr>
          <w:p w:rsidR="00B91F75" w:rsidRDefault="00141601" w:rsidP="008B1952">
            <w:r>
              <w:t>+ tukee pienten kirjastojen kokoelmaa</w:t>
            </w:r>
          </w:p>
          <w:p w:rsidR="00141601" w:rsidRDefault="00141601" w:rsidP="008B1952">
            <w:r>
              <w:t>+ tukee Vaski-kokoelmaa</w:t>
            </w:r>
          </w:p>
          <w:p w:rsidR="00141601" w:rsidRDefault="00141601" w:rsidP="008B1952">
            <w:r>
              <w:t>+ tukee kokoelman ajalli</w:t>
            </w:r>
            <w:r>
              <w:t>s</w:t>
            </w:r>
            <w:r>
              <w:t>ta ja laadullista syvyyttä</w:t>
            </w:r>
          </w:p>
          <w:p w:rsidR="00141601" w:rsidRDefault="00141601" w:rsidP="008B1952">
            <w:r>
              <w:t>+tukee marginaalisen mu</w:t>
            </w:r>
            <w:r>
              <w:t>t</w:t>
            </w:r>
            <w:r>
              <w:t>ta kulttuurisesti merkitt</w:t>
            </w:r>
            <w:r>
              <w:t>ä</w:t>
            </w:r>
            <w:r>
              <w:t>vän aineiston saatavuutta kirjastoista</w:t>
            </w:r>
          </w:p>
        </w:tc>
        <w:tc>
          <w:tcPr>
            <w:tcW w:w="2593" w:type="dxa"/>
            <w:shd w:val="clear" w:color="auto" w:fill="auto"/>
          </w:tcPr>
          <w:p w:rsidR="00B91F75" w:rsidRDefault="00B91F75" w:rsidP="008B1952"/>
        </w:tc>
        <w:tc>
          <w:tcPr>
            <w:tcW w:w="2593" w:type="dxa"/>
            <w:shd w:val="clear" w:color="auto" w:fill="auto"/>
          </w:tcPr>
          <w:p w:rsidR="00B91F75" w:rsidRDefault="00B91F75" w:rsidP="009831E2">
            <w:pPr>
              <w:numPr>
                <w:ilvl w:val="0"/>
                <w:numId w:val="19"/>
              </w:numPr>
            </w:pPr>
          </w:p>
        </w:tc>
      </w:tr>
      <w:tr w:rsidR="009831E2" w:rsidTr="00352D05">
        <w:trPr>
          <w:jc w:val="center"/>
        </w:trPr>
        <w:tc>
          <w:tcPr>
            <w:tcW w:w="1632" w:type="dxa"/>
            <w:shd w:val="clear" w:color="auto" w:fill="auto"/>
          </w:tcPr>
          <w:p w:rsidR="009831E2" w:rsidRDefault="009831E2" w:rsidP="008B1952">
            <w:r>
              <w:t>Av-aineisto / konsolipelit</w:t>
            </w:r>
          </w:p>
        </w:tc>
        <w:tc>
          <w:tcPr>
            <w:tcW w:w="2929" w:type="dxa"/>
            <w:shd w:val="clear" w:color="auto" w:fill="auto"/>
          </w:tcPr>
          <w:p w:rsidR="009831E2" w:rsidRDefault="009831E2" w:rsidP="008B1952">
            <w:r>
              <w:t>+ näihin aineistoihin liitt</w:t>
            </w:r>
            <w:r>
              <w:t>y</w:t>
            </w:r>
            <w:r>
              <w:t>vän asiantuntemuksen ja osaamisen hyödyntäminen</w:t>
            </w:r>
          </w:p>
          <w:p w:rsidR="009831E2" w:rsidRDefault="009831E2" w:rsidP="008B1952">
            <w:r>
              <w:t>+ kallis aineisto teho</w:t>
            </w:r>
            <w:r>
              <w:t>k</w:t>
            </w:r>
            <w:r>
              <w:t>kaampaan käyttöön</w:t>
            </w:r>
          </w:p>
          <w:p w:rsidR="009831E2" w:rsidRDefault="009831E2" w:rsidP="008B1952">
            <w:r>
              <w:t>+ myös pienemmillä kirja</w:t>
            </w:r>
            <w:r>
              <w:t>s</w:t>
            </w:r>
            <w:r>
              <w:t>toilla mahdollisuus tarjota näitä aineistoja asiakkaille</w:t>
            </w:r>
          </w:p>
          <w:p w:rsidR="009831E2" w:rsidRDefault="009831E2" w:rsidP="008B1952"/>
        </w:tc>
        <w:tc>
          <w:tcPr>
            <w:tcW w:w="2593" w:type="dxa"/>
            <w:shd w:val="clear" w:color="auto" w:fill="auto"/>
          </w:tcPr>
          <w:p w:rsidR="009831E2" w:rsidRDefault="009831E2" w:rsidP="008B1952">
            <w:r>
              <w:t>- tuoko oikeasti lisäa</w:t>
            </w:r>
            <w:r>
              <w:t>r</w:t>
            </w:r>
            <w:r>
              <w:t>voa pienille kirjastoille? Voivat jo nyt hyödyntää isompien kirjastojen kokoelmia</w:t>
            </w:r>
          </w:p>
          <w:p w:rsidR="009831E2" w:rsidRDefault="009831E2" w:rsidP="008B1952">
            <w:r>
              <w:t>- pienemmissä kirja</w:t>
            </w:r>
            <w:r>
              <w:t>s</w:t>
            </w:r>
            <w:r>
              <w:t>toissa ei laitteita pelien tarkistamiseen</w:t>
            </w:r>
          </w:p>
        </w:tc>
        <w:tc>
          <w:tcPr>
            <w:tcW w:w="2593" w:type="dxa"/>
            <w:shd w:val="clear" w:color="auto" w:fill="auto"/>
          </w:tcPr>
          <w:p w:rsidR="009831E2" w:rsidRDefault="009831E2" w:rsidP="009831E2">
            <w:pPr>
              <w:numPr>
                <w:ilvl w:val="0"/>
                <w:numId w:val="19"/>
              </w:numPr>
            </w:pPr>
            <w:r>
              <w:t>miten valinnassa hyödynnetään va</w:t>
            </w:r>
            <w:r>
              <w:t>s</w:t>
            </w:r>
            <w:r>
              <w:t>kilaisten peleihin liittyvä asiantunt</w:t>
            </w:r>
            <w:r>
              <w:t>e</w:t>
            </w:r>
            <w:r>
              <w:t>mus</w:t>
            </w:r>
          </w:p>
          <w:p w:rsidR="009831E2" w:rsidRDefault="009831E2" w:rsidP="009831E2">
            <w:pPr>
              <w:numPr>
                <w:ilvl w:val="0"/>
                <w:numId w:val="19"/>
              </w:numPr>
            </w:pPr>
            <w:r>
              <w:t>aineiston kunnon tarkkailu vaatii työtä - miten menetellään vikatilanteissa?</w:t>
            </w:r>
          </w:p>
        </w:tc>
      </w:tr>
    </w:tbl>
    <w:p w:rsidR="009831E2" w:rsidRDefault="009831E2" w:rsidP="009831E2"/>
    <w:p w:rsidR="00650279" w:rsidRDefault="00650279" w:rsidP="00352D05"/>
    <w:p w:rsidR="00650279" w:rsidRDefault="00650279" w:rsidP="009831E2">
      <w:pPr>
        <w:ind w:left="360"/>
      </w:pPr>
    </w:p>
    <w:p w:rsidR="00650279" w:rsidRDefault="00650279" w:rsidP="009831E2">
      <w:pPr>
        <w:ind w:left="360"/>
      </w:pPr>
    </w:p>
    <w:p w:rsidR="000C6CFF" w:rsidRDefault="000C6CFF" w:rsidP="009831E2">
      <w:pPr>
        <w:ind w:left="360"/>
      </w:pPr>
      <w:r>
        <w:t>Seuraavassa taulukossa on laskettuna kirjastojen osuus kellutuskokeilusta.</w:t>
      </w:r>
    </w:p>
    <w:p w:rsidR="002F6053" w:rsidRDefault="002F6053" w:rsidP="007D231F"/>
    <w:tbl>
      <w:tblPr>
        <w:tblW w:w="62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549"/>
        <w:gridCol w:w="1540"/>
        <w:gridCol w:w="1874"/>
      </w:tblGrid>
      <w:tr w:rsidR="005673E7" w:rsidRPr="005673E7" w:rsidTr="005673E7">
        <w:trPr>
          <w:trHeight w:val="1065"/>
          <w:jc w:val="center"/>
        </w:trPr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b/>
                <w:bCs/>
                <w:color w:val="000000"/>
                <w:sz w:val="20"/>
                <w:szCs w:val="20"/>
                <w:lang w:eastAsia="fi-FI"/>
              </w:rPr>
              <w:t>Kunta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73E7" w:rsidRPr="005673E7" w:rsidRDefault="005673E7" w:rsidP="005673E7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b/>
                <w:bCs/>
                <w:color w:val="000000"/>
                <w:sz w:val="20"/>
                <w:szCs w:val="20"/>
                <w:lang w:eastAsia="fi-FI"/>
              </w:rPr>
              <w:t xml:space="preserve">Asukasluku 31.12.2011 </w:t>
            </w:r>
            <w:r w:rsidRPr="005673E7">
              <w:rPr>
                <w:rFonts w:cs="Arial"/>
                <w:color w:val="000000"/>
                <w:sz w:val="14"/>
                <w:szCs w:val="14"/>
                <w:lang w:eastAsia="fi-FI"/>
              </w:rPr>
              <w:t>(lähde: Väestörekist</w:t>
            </w:r>
            <w:r w:rsidRPr="005673E7">
              <w:rPr>
                <w:rFonts w:cs="Arial"/>
                <w:color w:val="000000"/>
                <w:sz w:val="14"/>
                <w:szCs w:val="14"/>
                <w:lang w:eastAsia="fi-FI"/>
              </w:rPr>
              <w:t>e</w:t>
            </w:r>
            <w:r w:rsidRPr="005673E7">
              <w:rPr>
                <w:rFonts w:cs="Arial"/>
                <w:color w:val="000000"/>
                <w:sz w:val="14"/>
                <w:szCs w:val="14"/>
                <w:lang w:eastAsia="fi-FI"/>
              </w:rPr>
              <w:t>rikeskus)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73E7" w:rsidRPr="005673E7" w:rsidRDefault="005673E7" w:rsidP="005673E7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b/>
                <w:bCs/>
                <w:color w:val="000000"/>
                <w:sz w:val="20"/>
                <w:szCs w:val="20"/>
                <w:lang w:eastAsia="fi-FI"/>
              </w:rPr>
              <w:t>Asukasluku %-osuus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73E7" w:rsidRPr="005673E7" w:rsidRDefault="005673E7" w:rsidP="005673E7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b/>
                <w:bCs/>
                <w:color w:val="000000"/>
                <w:sz w:val="20"/>
                <w:szCs w:val="20"/>
                <w:lang w:eastAsia="fi-FI"/>
              </w:rPr>
              <w:t>Osuus kellutu</w:t>
            </w:r>
            <w:r w:rsidRPr="005673E7">
              <w:rPr>
                <w:rFonts w:cs="Arial"/>
                <w:b/>
                <w:bCs/>
                <w:color w:val="000000"/>
                <w:sz w:val="20"/>
                <w:szCs w:val="20"/>
                <w:lang w:eastAsia="fi-FI"/>
              </w:rPr>
              <w:t>s</w:t>
            </w:r>
            <w:r w:rsidRPr="005673E7">
              <w:rPr>
                <w:rFonts w:cs="Arial"/>
                <w:b/>
                <w:bCs/>
                <w:color w:val="000000"/>
                <w:sz w:val="20"/>
                <w:szCs w:val="20"/>
                <w:lang w:eastAsia="fi-FI"/>
              </w:rPr>
              <w:t>kokeilusta</w:t>
            </w:r>
          </w:p>
        </w:tc>
      </w:tr>
      <w:tr w:rsidR="005673E7" w:rsidRPr="005673E7" w:rsidTr="005673E7">
        <w:trPr>
          <w:trHeight w:val="285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Kaarina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31 081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9,06 %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453,00</w:t>
            </w:r>
          </w:p>
        </w:tc>
      </w:tr>
      <w:tr w:rsidR="005673E7" w:rsidRPr="005673E7" w:rsidTr="005673E7">
        <w:trPr>
          <w:trHeight w:val="285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Kustavi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886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0,26 %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13,00</w:t>
            </w:r>
          </w:p>
        </w:tc>
      </w:tr>
      <w:tr w:rsidR="005673E7" w:rsidRPr="005673E7" w:rsidTr="005673E7">
        <w:trPr>
          <w:trHeight w:val="285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Laitila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8 408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2,45 %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122,50</w:t>
            </w:r>
          </w:p>
        </w:tc>
      </w:tr>
      <w:tr w:rsidR="005673E7" w:rsidRPr="005673E7" w:rsidTr="005673E7">
        <w:trPr>
          <w:trHeight w:val="285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Lieto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16 690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4,87 %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243,50</w:t>
            </w:r>
          </w:p>
        </w:tc>
      </w:tr>
      <w:tr w:rsidR="005673E7" w:rsidRPr="005673E7" w:rsidTr="005673E7">
        <w:trPr>
          <w:trHeight w:val="285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Masku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9 585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2,80 %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140,00</w:t>
            </w:r>
          </w:p>
        </w:tc>
      </w:tr>
      <w:tr w:rsidR="005673E7" w:rsidRPr="005673E7" w:rsidTr="005673E7">
        <w:trPr>
          <w:trHeight w:val="285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Mynämäki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8 044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2,35 %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117,50</w:t>
            </w:r>
          </w:p>
        </w:tc>
      </w:tr>
      <w:tr w:rsidR="005673E7" w:rsidRPr="005673E7" w:rsidTr="005673E7">
        <w:trPr>
          <w:trHeight w:val="285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Naantali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18 871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5,50 %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275,00</w:t>
            </w:r>
          </w:p>
        </w:tc>
      </w:tr>
      <w:tr w:rsidR="005673E7" w:rsidRPr="005673E7" w:rsidTr="005673E7">
        <w:trPr>
          <w:trHeight w:val="285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Nousiainen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4 814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1,40 %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70,00</w:t>
            </w:r>
          </w:p>
        </w:tc>
      </w:tr>
      <w:tr w:rsidR="005673E7" w:rsidRPr="005673E7" w:rsidTr="005673E7">
        <w:trPr>
          <w:trHeight w:val="285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Paimio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10 471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3,05 %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152,50</w:t>
            </w:r>
          </w:p>
        </w:tc>
      </w:tr>
      <w:tr w:rsidR="005673E7" w:rsidRPr="005673E7" w:rsidTr="005673E7">
        <w:trPr>
          <w:trHeight w:val="285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Pyhäranta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2 206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0,64 %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32,00</w:t>
            </w:r>
          </w:p>
        </w:tc>
      </w:tr>
      <w:tr w:rsidR="005673E7" w:rsidRPr="005673E7" w:rsidTr="005673E7">
        <w:trPr>
          <w:trHeight w:val="285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Raisio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24 559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7,16 %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358,00</w:t>
            </w:r>
          </w:p>
        </w:tc>
      </w:tr>
      <w:tr w:rsidR="005673E7" w:rsidRPr="005673E7" w:rsidTr="005673E7">
        <w:trPr>
          <w:trHeight w:val="285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Rusko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5 870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1,71 %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85,50</w:t>
            </w:r>
          </w:p>
        </w:tc>
      </w:tr>
      <w:tr w:rsidR="005673E7" w:rsidRPr="005673E7" w:rsidTr="005673E7">
        <w:trPr>
          <w:trHeight w:val="285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Sauvo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3 043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0,89 %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44,50</w:t>
            </w:r>
          </w:p>
        </w:tc>
      </w:tr>
      <w:tr w:rsidR="005673E7" w:rsidRPr="005673E7" w:rsidTr="005673E7">
        <w:trPr>
          <w:trHeight w:val="285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Taivassalo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1 690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0,49 %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24,50</w:t>
            </w:r>
          </w:p>
        </w:tc>
      </w:tr>
      <w:tr w:rsidR="005673E7" w:rsidRPr="005673E7" w:rsidTr="005673E7">
        <w:trPr>
          <w:trHeight w:val="285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Turku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178 630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52,10 %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2 605,00</w:t>
            </w:r>
          </w:p>
        </w:tc>
      </w:tr>
      <w:tr w:rsidR="005673E7" w:rsidRPr="005673E7" w:rsidTr="005673E7">
        <w:trPr>
          <w:trHeight w:val="285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Uusikaupunki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15 685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4,57 %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228,50</w:t>
            </w:r>
          </w:p>
        </w:tc>
      </w:tr>
      <w:tr w:rsidR="005673E7" w:rsidRPr="005673E7" w:rsidTr="005673E7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Vehmaa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2 353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0,69 %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34,5</w:t>
            </w:r>
          </w:p>
        </w:tc>
      </w:tr>
      <w:tr w:rsidR="005673E7" w:rsidRPr="005673E7" w:rsidTr="005673E7">
        <w:trPr>
          <w:trHeight w:val="285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b/>
                <w:bCs/>
                <w:color w:val="000000"/>
                <w:sz w:val="20"/>
                <w:szCs w:val="20"/>
                <w:lang w:eastAsia="fi-FI"/>
              </w:rPr>
              <w:t>Yhteensä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342 886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100,00 %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E7" w:rsidRPr="005673E7" w:rsidRDefault="005673E7" w:rsidP="005673E7">
            <w:pPr>
              <w:jc w:val="right"/>
              <w:rPr>
                <w:rFonts w:cs="Arial"/>
                <w:color w:val="000000"/>
                <w:sz w:val="20"/>
                <w:szCs w:val="20"/>
                <w:lang w:eastAsia="fi-FI"/>
              </w:rPr>
            </w:pPr>
            <w:r w:rsidRPr="005673E7">
              <w:rPr>
                <w:rFonts w:cs="Arial"/>
                <w:color w:val="000000"/>
                <w:sz w:val="20"/>
                <w:szCs w:val="20"/>
                <w:lang w:eastAsia="fi-FI"/>
              </w:rPr>
              <w:t>5 000,00</w:t>
            </w:r>
          </w:p>
        </w:tc>
      </w:tr>
    </w:tbl>
    <w:p w:rsidR="005673E7" w:rsidRPr="007D231F" w:rsidRDefault="005673E7" w:rsidP="005673E7">
      <w:pPr>
        <w:jc w:val="center"/>
      </w:pPr>
    </w:p>
    <w:sectPr w:rsidR="005673E7" w:rsidRPr="007D231F" w:rsidSect="00A31BEF">
      <w:headerReference w:type="even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1E2" w:rsidRDefault="009831E2" w:rsidP="00D45142">
      <w:r>
        <w:separator/>
      </w:r>
    </w:p>
  </w:endnote>
  <w:endnote w:type="continuationSeparator" w:id="0">
    <w:p w:rsidR="009831E2" w:rsidRDefault="009831E2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1E2" w:rsidRDefault="009831E2" w:rsidP="00D45142">
      <w:r>
        <w:separator/>
      </w:r>
    </w:p>
  </w:footnote>
  <w:footnote w:type="continuationSeparator" w:id="0">
    <w:p w:rsidR="009831E2" w:rsidRDefault="009831E2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674B9"/>
    <w:multiLevelType w:val="multilevel"/>
    <w:tmpl w:val="666242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>
    <w:nsid w:val="0CBF37E0"/>
    <w:multiLevelType w:val="hybridMultilevel"/>
    <w:tmpl w:val="B588B15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C60F87"/>
    <w:multiLevelType w:val="hybridMultilevel"/>
    <w:tmpl w:val="CD62D758"/>
    <w:lvl w:ilvl="0" w:tplc="690EA0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4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5">
    <w:nsid w:val="44A51E97"/>
    <w:multiLevelType w:val="hybridMultilevel"/>
    <w:tmpl w:val="2364FD8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702103"/>
    <w:multiLevelType w:val="hybridMultilevel"/>
    <w:tmpl w:val="594C0F4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797B24"/>
    <w:multiLevelType w:val="hybridMultilevel"/>
    <w:tmpl w:val="D8D2B3C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9">
    <w:nsid w:val="75BC04BF"/>
    <w:multiLevelType w:val="hybridMultilevel"/>
    <w:tmpl w:val="807CA8E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2"/>
  </w:num>
  <w:num w:numId="16">
    <w:abstractNumId w:val="10"/>
  </w:num>
  <w:num w:numId="17">
    <w:abstractNumId w:val="15"/>
  </w:num>
  <w:num w:numId="18">
    <w:abstractNumId w:val="19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E2"/>
    <w:rsid w:val="00010C1D"/>
    <w:rsid w:val="00024DD7"/>
    <w:rsid w:val="000634FB"/>
    <w:rsid w:val="00064268"/>
    <w:rsid w:val="000A01C5"/>
    <w:rsid w:val="000C6CFF"/>
    <w:rsid w:val="00103C40"/>
    <w:rsid w:val="00141601"/>
    <w:rsid w:val="001E4029"/>
    <w:rsid w:val="001F2B8E"/>
    <w:rsid w:val="00221647"/>
    <w:rsid w:val="00254212"/>
    <w:rsid w:val="00286737"/>
    <w:rsid w:val="002C1CFF"/>
    <w:rsid w:val="002F6053"/>
    <w:rsid w:val="00352D05"/>
    <w:rsid w:val="00377D27"/>
    <w:rsid w:val="0038480F"/>
    <w:rsid w:val="003B1AEE"/>
    <w:rsid w:val="003B6ACF"/>
    <w:rsid w:val="003D3A38"/>
    <w:rsid w:val="00402038"/>
    <w:rsid w:val="0045789B"/>
    <w:rsid w:val="004D68EC"/>
    <w:rsid w:val="004E3C33"/>
    <w:rsid w:val="005673E7"/>
    <w:rsid w:val="005A1AB9"/>
    <w:rsid w:val="005E0D42"/>
    <w:rsid w:val="00606488"/>
    <w:rsid w:val="00650279"/>
    <w:rsid w:val="00654E35"/>
    <w:rsid w:val="006E38D5"/>
    <w:rsid w:val="00744E63"/>
    <w:rsid w:val="007468CE"/>
    <w:rsid w:val="00751238"/>
    <w:rsid w:val="00760019"/>
    <w:rsid w:val="007D231F"/>
    <w:rsid w:val="008556A7"/>
    <w:rsid w:val="00893CEB"/>
    <w:rsid w:val="00936891"/>
    <w:rsid w:val="00940C7B"/>
    <w:rsid w:val="00957144"/>
    <w:rsid w:val="00975673"/>
    <w:rsid w:val="009831E2"/>
    <w:rsid w:val="009B0E7A"/>
    <w:rsid w:val="00A230CB"/>
    <w:rsid w:val="00A31BEF"/>
    <w:rsid w:val="00A32547"/>
    <w:rsid w:val="00A34000"/>
    <w:rsid w:val="00A719F8"/>
    <w:rsid w:val="00B1319E"/>
    <w:rsid w:val="00B62331"/>
    <w:rsid w:val="00B6437B"/>
    <w:rsid w:val="00B84AC0"/>
    <w:rsid w:val="00B91E39"/>
    <w:rsid w:val="00B91F75"/>
    <w:rsid w:val="00BB2DD8"/>
    <w:rsid w:val="00BF602F"/>
    <w:rsid w:val="00C36AED"/>
    <w:rsid w:val="00CB18E5"/>
    <w:rsid w:val="00D10C57"/>
    <w:rsid w:val="00D42981"/>
    <w:rsid w:val="00D45142"/>
    <w:rsid w:val="00D47A9B"/>
    <w:rsid w:val="00D61CDC"/>
    <w:rsid w:val="00D64434"/>
    <w:rsid w:val="00DA57E2"/>
    <w:rsid w:val="00DE0CFF"/>
    <w:rsid w:val="00E100B8"/>
    <w:rsid w:val="00E11E2B"/>
    <w:rsid w:val="00E73F6A"/>
    <w:rsid w:val="00EB60ED"/>
    <w:rsid w:val="00EB6C3D"/>
    <w:rsid w:val="00ED11CA"/>
    <w:rsid w:val="00F04A0E"/>
    <w:rsid w:val="00F771F8"/>
    <w:rsid w:val="00FA3D41"/>
    <w:rsid w:val="00F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831E2"/>
    <w:rPr>
      <w:rFonts w:ascii="Arial" w:eastAsia="Times New Roman" w:hAnsi="Arial" w:cs="Calibr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customStyle="1" w:styleId="Luettelokappale1">
    <w:name w:val="Luettelokappale1"/>
    <w:basedOn w:val="Normaali"/>
    <w:rsid w:val="009831E2"/>
    <w:pPr>
      <w:ind w:left="720"/>
      <w:contextualSpacing/>
    </w:pPr>
  </w:style>
  <w:style w:type="paragraph" w:styleId="Luettelokappale">
    <w:name w:val="List Paragraph"/>
    <w:basedOn w:val="Normaali"/>
    <w:uiPriority w:val="34"/>
    <w:qFormat/>
    <w:rsid w:val="009831E2"/>
    <w:pPr>
      <w:ind w:left="720"/>
      <w:contextualSpacing/>
    </w:pPr>
    <w:rPr>
      <w:rFonts w:ascii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831E2"/>
    <w:rPr>
      <w:rFonts w:ascii="Arial" w:eastAsia="Times New Roman" w:hAnsi="Arial" w:cs="Calibr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customStyle="1" w:styleId="Luettelokappale1">
    <w:name w:val="Luettelokappale1"/>
    <w:basedOn w:val="Normaali"/>
    <w:rsid w:val="009831E2"/>
    <w:pPr>
      <w:ind w:left="720"/>
      <w:contextualSpacing/>
    </w:pPr>
  </w:style>
  <w:style w:type="paragraph" w:styleId="Luettelokappale">
    <w:name w:val="List Paragraph"/>
    <w:basedOn w:val="Normaali"/>
    <w:uiPriority w:val="34"/>
    <w:qFormat/>
    <w:rsid w:val="009831E2"/>
    <w:pPr>
      <w:ind w:left="720"/>
      <w:contextualSpacing/>
    </w:pPr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mniemi\Application%20Data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8350-8D30-4E20-8A2B-5127C5B7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asiakirja.dotx</Template>
  <TotalTime>15</TotalTime>
  <Pages>2</Pages>
  <Words>375</Words>
  <Characters>3038</Characters>
  <Application>Microsoft Office Word</Application>
  <DocSecurity>4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Nieminen Sanna</dc:creator>
  <cp:lastModifiedBy>Rytkönen Arja</cp:lastModifiedBy>
  <cp:revision>2</cp:revision>
  <cp:lastPrinted>2013-01-23T06:29:00Z</cp:lastPrinted>
  <dcterms:created xsi:type="dcterms:W3CDTF">2013-02-01T08:30:00Z</dcterms:created>
  <dcterms:modified xsi:type="dcterms:W3CDTF">2013-02-01T08:30:00Z</dcterms:modified>
</cp:coreProperties>
</file>